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Projektstatusbericht Mai 2024 – Heilbronn Plant Expansion (PRJ-2023-005)</w:t>
      </w:r>
    </w:p>
    <w:p>
      <w:pPr>
        <w:jc w:val="center"/>
      </w:pPr>
      <w:r>
        <w:t>Projektstatus Werkserweiterung Heilbronn / BMS-12-Produktionslinie / Stand 30. Mai 2024</w:t>
      </w:r>
    </w:p>
    <w:p/>
    <w:p>
      <w:pPr>
        <w:pStyle w:val="Heading3"/>
      </w:pPr>
      <w:r>
        <w:t>Projektrahmen</w:t>
      </w:r>
    </w:p>
    <w:p>
      <w:r>
        <w:t>Projekt PRJ-2023-005 »Heilbronn Plant Expansion / BMS-12 Linie 3«. Genehmigt durch Aufsichtsrat in Sitzung Q3/2023 (Beschluss-Nr. AR-2023-Q3-12); Investitionsvolumen genehmigt EUR 28 Mio., spaetere Aufstockung um EUR 4 Mio. fuer zusaetzliche BMS-12-Kapazitaeten. Ziel: SOP BMS-12 fuer VW ID.7 Q4/2024; Volumen 280 Mio. EUR / Laufzeit 7 Jahre.</w:t>
      </w:r>
    </w:p>
    <w:p>
      <w:pPr>
        <w:pStyle w:val="Heading3"/>
      </w:pPr>
      <w:r>
        <w:t>Projektorganisation</w:t>
      </w:r>
    </w:p>
    <w:p>
      <w:r>
        <w:t>Gesamtprojektleitung: Dr. Thomas Weber (COO); Werkleiter Heilbronn: Andreas Maier; Quality-Lead: Sabine Brand; IT-Lead: Markus Hofstetter; Externer GU-Partner: Bauunternehmen Heberger GmbH (Schwetzingen). Steering Committee: Vorstand + Werkleiter + GU-Lead; Sitzungsturnus zweiwoechentlich.</w:t>
      </w:r>
    </w:p>
    <w:p>
      <w:pPr>
        <w:pStyle w:val="Heading3"/>
      </w:pPr>
      <w:r>
        <w:t>Statusampel-Uebersicht (Mai 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Workstream</w:t>
            </w:r>
          </w:p>
        </w:tc>
        <w:tc>
          <w:tcPr>
            <w:tcW w:type="dxa" w:w="2160"/>
          </w:tcPr>
          <w:p>
            <w:r>
              <w:t>Ampel</w:t>
            </w:r>
          </w:p>
        </w:tc>
        <w:tc>
          <w:tcPr>
            <w:tcW w:type="dxa" w:w="2160"/>
          </w:tcPr>
          <w:p>
            <w:r>
              <w:t>% Fortschritt</w:t>
            </w:r>
          </w:p>
        </w:tc>
        <w:tc>
          <w:tcPr>
            <w:tcW w:type="dxa" w:w="2160"/>
          </w:tcPr>
          <w:p>
            <w:r>
              <w:t>Kommentar</w:t>
            </w:r>
          </w:p>
        </w:tc>
      </w:tr>
      <w:tr>
        <w:tc>
          <w:tcPr>
            <w:tcW w:type="dxa" w:w="2160"/>
          </w:tcPr>
          <w:p>
            <w:r>
              <w:t>Bau / Gebaeude (Halle 3 Erweiterung)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  <w:tc>
          <w:tcPr>
            <w:tcW w:type="dxa" w:w="2160"/>
          </w:tcPr>
          <w:p>
            <w:r>
              <w:t>92 %</w:t>
            </w:r>
          </w:p>
        </w:tc>
        <w:tc>
          <w:tcPr>
            <w:tcW w:type="dxa" w:w="2160"/>
          </w:tcPr>
          <w:p>
            <w:r>
              <w:t>Dach- und Fassadenarbeiten abgeschlossen; Innenausbau Q3/2024</w:t>
            </w:r>
          </w:p>
        </w:tc>
      </w:tr>
      <w:tr>
        <w:tc>
          <w:tcPr>
            <w:tcW w:type="dxa" w:w="2160"/>
          </w:tcPr>
          <w:p>
            <w:r>
              <w:t>Produktions-Equipment (SMD-Linien, ICT, AOI)</w:t>
            </w:r>
          </w:p>
        </w:tc>
        <w:tc>
          <w:tcPr>
            <w:tcW w:type="dxa" w:w="2160"/>
          </w:tcPr>
          <w:p>
            <w:r>
              <w:t>GELB</w:t>
            </w:r>
          </w:p>
        </w:tc>
        <w:tc>
          <w:tcPr>
            <w:tcW w:type="dxa" w:w="2160"/>
          </w:tcPr>
          <w:p>
            <w:r>
              <w:t>78 %</w:t>
            </w:r>
          </w:p>
        </w:tc>
        <w:tc>
          <w:tcPr>
            <w:tcW w:type="dxa" w:w="2160"/>
          </w:tcPr>
          <w:p>
            <w:r>
              <w:t>Lieferverzug Yamaha YSM40 um 8 Wochen; Mitigation: Backup-Maschine geleast</w:t>
            </w:r>
          </w:p>
        </w:tc>
      </w:tr>
      <w:tr>
        <w:tc>
          <w:tcPr>
            <w:tcW w:type="dxa" w:w="2160"/>
          </w:tcPr>
          <w:p>
            <w:r>
              <w:t>IT / SAP-S/4HANA Anbindung Linie 3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  <w:tc>
          <w:tcPr>
            <w:tcW w:type="dxa" w:w="2160"/>
          </w:tcPr>
          <w:p>
            <w:r>
              <w:t>85 %</w:t>
            </w:r>
          </w:p>
        </w:tc>
        <w:tc>
          <w:tcPr>
            <w:tcW w:type="dxa" w:w="2160"/>
          </w:tcPr>
          <w:p>
            <w:r>
              <w:t>Cutover-Wochenende geplant 18.-20. Oktober 2024</w:t>
            </w:r>
          </w:p>
        </w:tc>
      </w:tr>
      <w:tr>
        <w:tc>
          <w:tcPr>
            <w:tcW w:type="dxa" w:w="2160"/>
          </w:tcPr>
          <w:p>
            <w:r>
              <w:t>Qualifizierung / IATF-Audit</w:t>
            </w:r>
          </w:p>
        </w:tc>
        <w:tc>
          <w:tcPr>
            <w:tcW w:type="dxa" w:w="2160"/>
          </w:tcPr>
          <w:p>
            <w:r>
              <w:t>GELB</w:t>
            </w:r>
          </w:p>
        </w:tc>
        <w:tc>
          <w:tcPr>
            <w:tcW w:type="dxa" w:w="2160"/>
          </w:tcPr>
          <w:p>
            <w:r>
              <w:t>60 %</w:t>
            </w:r>
          </w:p>
        </w:tc>
        <w:tc>
          <w:tcPr>
            <w:tcW w:type="dxa" w:w="2160"/>
          </w:tcPr>
          <w:p>
            <w:r>
              <w:t>Pruefstaende noch nicht alle qualifiziert (PPAP-Vorbereitung)</w:t>
            </w:r>
          </w:p>
        </w:tc>
      </w:tr>
      <w:tr>
        <w:tc>
          <w:tcPr>
            <w:tcW w:type="dxa" w:w="2160"/>
          </w:tcPr>
          <w:p>
            <w:r>
              <w:t>Personal-Recruitment (45 FTE)</w:t>
            </w:r>
          </w:p>
        </w:tc>
        <w:tc>
          <w:tcPr>
            <w:tcW w:type="dxa" w:w="2160"/>
          </w:tcPr>
          <w:p>
            <w:r>
              <w:t>ORANGE</w:t>
            </w:r>
          </w:p>
        </w:tc>
        <w:tc>
          <w:tcPr>
            <w:tcW w:type="dxa" w:w="2160"/>
          </w:tcPr>
          <w:p>
            <w:r>
              <w:t>55 %</w:t>
            </w:r>
          </w:p>
        </w:tc>
        <w:tc>
          <w:tcPr>
            <w:tcW w:type="dxa" w:w="2160"/>
          </w:tcPr>
          <w:p>
            <w:r>
              <w:t>Arbeitsmarkt eng; aktuell 25 Einstellungen, 20 offen</w:t>
            </w:r>
          </w:p>
        </w:tc>
      </w:tr>
      <w:tr>
        <w:tc>
          <w:tcPr>
            <w:tcW w:type="dxa" w:w="2160"/>
          </w:tcPr>
          <w:p>
            <w:r>
              <w:t>Lieferantenfreigaben (PPAP)</w:t>
            </w:r>
          </w:p>
        </w:tc>
        <w:tc>
          <w:tcPr>
            <w:tcW w:type="dxa" w:w="2160"/>
          </w:tcPr>
          <w:p>
            <w:r>
              <w:t>GELB</w:t>
            </w:r>
          </w:p>
        </w:tc>
        <w:tc>
          <w:tcPr>
            <w:tcW w:type="dxa" w:w="2160"/>
          </w:tcPr>
          <w:p>
            <w:r>
              <w:t>62 %</w:t>
            </w:r>
          </w:p>
        </w:tc>
        <w:tc>
          <w:tcPr>
            <w:tcW w:type="dxa" w:w="2160"/>
          </w:tcPr>
          <w:p>
            <w:r>
              <w:t>PPAP-Level-3-Validierung Halbleiter-Lieferant NXP laeuft</w:t>
            </w:r>
          </w:p>
        </w:tc>
      </w:tr>
    </w:tbl>
    <w:p>
      <w:pPr>
        <w:pStyle w:val="Heading3"/>
      </w:pPr>
      <w:r>
        <w:t>Budget-Status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Budget (EUR Mio.)</w:t>
            </w:r>
          </w:p>
        </w:tc>
        <w:tc>
          <w:tcPr>
            <w:tcW w:type="dxa" w:w="1728"/>
          </w:tcPr>
          <w:p>
            <w:r>
              <w:t>Ist (EUR Mio.)</w:t>
            </w:r>
          </w:p>
        </w:tc>
        <w:tc>
          <w:tcPr>
            <w:tcW w:type="dxa" w:w="1728"/>
          </w:tcPr>
          <w:p>
            <w:r>
              <w:t>Forecast EJ (EUR Mio.)</w:t>
            </w:r>
          </w:p>
        </w:tc>
        <w:tc>
          <w:tcPr>
            <w:tcW w:type="dxa" w:w="1728"/>
          </w:tcPr>
          <w:p>
            <w:r>
              <w:t>Abweichung</w:t>
            </w:r>
          </w:p>
        </w:tc>
      </w:tr>
      <w:tr>
        <w:tc>
          <w:tcPr>
            <w:tcW w:type="dxa" w:w="1728"/>
          </w:tcPr>
          <w:p>
            <w:r>
              <w:t>Bau / Gebaeude</w:t>
            </w:r>
          </w:p>
        </w:tc>
        <w:tc>
          <w:tcPr>
            <w:tcW w:type="dxa" w:w="1728"/>
          </w:tcPr>
          <w:p>
            <w:r>
              <w:t>12,4</w:t>
            </w:r>
          </w:p>
        </w:tc>
        <w:tc>
          <w:tcPr>
            <w:tcW w:type="dxa" w:w="1728"/>
          </w:tcPr>
          <w:p>
            <w:r>
              <w:t>11,8</w:t>
            </w:r>
          </w:p>
        </w:tc>
        <w:tc>
          <w:tcPr>
            <w:tcW w:type="dxa" w:w="1728"/>
          </w:tcPr>
          <w:p>
            <w:r>
              <w:t>12,6</w:t>
            </w:r>
          </w:p>
        </w:tc>
        <w:tc>
          <w:tcPr>
            <w:tcW w:type="dxa" w:w="1728"/>
          </w:tcPr>
          <w:p>
            <w:r>
              <w:t>+0,2 (+1,6 %)</w:t>
            </w:r>
          </w:p>
        </w:tc>
      </w:tr>
      <w:tr>
        <w:tc>
          <w:tcPr>
            <w:tcW w:type="dxa" w:w="1728"/>
          </w:tcPr>
          <w:p>
            <w:r>
              <w:t>Produktions-Equipment</w:t>
            </w:r>
          </w:p>
        </w:tc>
        <w:tc>
          <w:tcPr>
            <w:tcW w:type="dxa" w:w="1728"/>
          </w:tcPr>
          <w:p>
            <w:r>
              <w:t>14,8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15,4</w:t>
            </w:r>
          </w:p>
        </w:tc>
        <w:tc>
          <w:tcPr>
            <w:tcW w:type="dxa" w:w="1728"/>
          </w:tcPr>
          <w:p>
            <w:r>
              <w:t>+0,6 (+4,1 %)</w:t>
            </w:r>
          </w:p>
        </w:tc>
      </w:tr>
      <w:tr>
        <w:tc>
          <w:tcPr>
            <w:tcW w:type="dxa" w:w="1728"/>
          </w:tcPr>
          <w:p>
            <w:r>
              <w:t>IT / Software-Lizenzen</w:t>
            </w:r>
          </w:p>
        </w:tc>
        <w:tc>
          <w:tcPr>
            <w:tcW w:type="dxa" w:w="1728"/>
          </w:tcPr>
          <w:p>
            <w:r>
              <w:t>1,8</w:t>
            </w:r>
          </w:p>
        </w:tc>
        <w:tc>
          <w:tcPr>
            <w:tcW w:type="dxa" w:w="1728"/>
          </w:tcPr>
          <w:p>
            <w:r>
              <w:t>1,4</w:t>
            </w:r>
          </w:p>
        </w:tc>
        <w:tc>
          <w:tcPr>
            <w:tcW w:type="dxa" w:w="1728"/>
          </w:tcPr>
          <w:p>
            <w:r>
              <w:t>1,8</w:t>
            </w:r>
          </w:p>
        </w:tc>
        <w:tc>
          <w:tcPr>
            <w:tcW w:type="dxa" w:w="1728"/>
          </w:tcPr>
          <w:p>
            <w:r>
              <w:t>0,0</w:t>
            </w:r>
          </w:p>
        </w:tc>
      </w:tr>
      <w:tr>
        <w:tc>
          <w:tcPr>
            <w:tcW w:type="dxa" w:w="1728"/>
          </w:tcPr>
          <w:p>
            <w:r>
              <w:t>Engineering / Qualifizierung</w:t>
            </w:r>
          </w:p>
        </w:tc>
        <w:tc>
          <w:tcPr>
            <w:tcW w:type="dxa" w:w="1728"/>
          </w:tcPr>
          <w:p>
            <w:r>
              <w:t>1,6</w:t>
            </w:r>
          </w:p>
        </w:tc>
        <w:tc>
          <w:tcPr>
            <w:tcW w:type="dxa" w:w="1728"/>
          </w:tcPr>
          <w:p>
            <w:r>
              <w:t>1,1</w:t>
            </w:r>
          </w:p>
        </w:tc>
        <w:tc>
          <w:tcPr>
            <w:tcW w:type="dxa" w:w="1728"/>
          </w:tcPr>
          <w:p>
            <w:r>
              <w:t>1,8</w:t>
            </w:r>
          </w:p>
        </w:tc>
        <w:tc>
          <w:tcPr>
            <w:tcW w:type="dxa" w:w="1728"/>
          </w:tcPr>
          <w:p>
            <w:r>
              <w:t>+0,2 (+12,5 %)</w:t>
            </w:r>
          </w:p>
        </w:tc>
      </w:tr>
      <w:tr>
        <w:tc>
          <w:tcPr>
            <w:tcW w:type="dxa" w:w="1728"/>
          </w:tcPr>
          <w:p>
            <w:r>
              <w:t>Personal-Onboarding / Training</w:t>
            </w:r>
          </w:p>
        </w:tc>
        <w:tc>
          <w:tcPr>
            <w:tcW w:type="dxa" w:w="1728"/>
          </w:tcPr>
          <w:p>
            <w:r>
              <w:t>0,9</w:t>
            </w:r>
          </w:p>
        </w:tc>
        <w:tc>
          <w:tcPr>
            <w:tcW w:type="dxa" w:w="1728"/>
          </w:tcPr>
          <w:p>
            <w:r>
              <w:t>0,4</w:t>
            </w:r>
          </w:p>
        </w:tc>
        <w:tc>
          <w:tcPr>
            <w:tcW w:type="dxa" w:w="1728"/>
          </w:tcPr>
          <w:p>
            <w:r>
              <w:t>0,9</w:t>
            </w:r>
          </w:p>
        </w:tc>
        <w:tc>
          <w:tcPr>
            <w:tcW w:type="dxa" w:w="1728"/>
          </w:tcPr>
          <w:p>
            <w:r>
              <w:t>0,0</w:t>
            </w:r>
          </w:p>
        </w:tc>
      </w:tr>
      <w:tr>
        <w:tc>
          <w:tcPr>
            <w:tcW w:type="dxa" w:w="1728"/>
          </w:tcPr>
          <w:p>
            <w:r>
              <w:t>Kontingenz (5 %)</w:t>
            </w:r>
          </w:p>
        </w:tc>
        <w:tc>
          <w:tcPr>
            <w:tcW w:type="dxa" w:w="1728"/>
          </w:tcPr>
          <w:p>
            <w:r>
              <w:t>1,5</w:t>
            </w:r>
          </w:p>
        </w:tc>
        <w:tc>
          <w:tcPr>
            <w:tcW w:type="dxa" w:w="1728"/>
          </w:tcPr>
          <w:p>
            <w:r>
              <w:t>0,0</w:t>
            </w:r>
          </w:p>
        </w:tc>
        <w:tc>
          <w:tcPr>
            <w:tcW w:type="dxa" w:w="1728"/>
          </w:tcPr>
          <w:p>
            <w:r>
              <w:t>0,5</w:t>
            </w:r>
          </w:p>
        </w:tc>
        <w:tc>
          <w:tcPr>
            <w:tcW w:type="dxa" w:w="1728"/>
          </w:tcPr>
          <w:p>
            <w:r>
              <w:t>-1,0 (genutzt)</w:t>
            </w:r>
          </w:p>
        </w:tc>
      </w:tr>
      <w:tr>
        <w:tc>
          <w:tcPr>
            <w:tcW w:type="dxa" w:w="1728"/>
          </w:tcPr>
          <w:p>
            <w:r>
              <w:t>SUMME</w:t>
            </w:r>
          </w:p>
        </w:tc>
        <w:tc>
          <w:tcPr>
            <w:tcW w:type="dxa" w:w="1728"/>
          </w:tcPr>
          <w:p>
            <w:r>
              <w:t>33,0</w:t>
            </w:r>
          </w:p>
        </w:tc>
        <w:tc>
          <w:tcPr>
            <w:tcW w:type="dxa" w:w="1728"/>
          </w:tcPr>
          <w:p>
            <w:r>
              <w:t>24,9</w:t>
            </w:r>
          </w:p>
        </w:tc>
        <w:tc>
          <w:tcPr>
            <w:tcW w:type="dxa" w:w="1728"/>
          </w:tcPr>
          <w:p>
            <w:r>
              <w:t>33,0</w:t>
            </w:r>
          </w:p>
        </w:tc>
        <w:tc>
          <w:tcPr>
            <w:tcW w:type="dxa" w:w="1728"/>
          </w:tcPr>
          <w:p>
            <w:r>
              <w:t>0,0</w:t>
            </w:r>
          </w:p>
        </w:tc>
      </w:tr>
    </w:tbl>
    <w:p>
      <w:pPr>
        <w:pStyle w:val="Heading3"/>
      </w:pPr>
      <w:r>
        <w:t>Risiken und Massnahmen</w:t>
      </w:r>
    </w:p>
    <w:p>
      <w:r>
        <w:t>Hauptrisiken: (a) Personal-Recruitment in einem engen Arbeitsmarkt (Mitigation: Kooperation mit Agenturen Hays + Adecco; Werbe-Kampagne; Werks-Tag im Juli 2024); (b) Lieferverzug Yamaha-Bestueckung (Mitigation: Backup-Maschine geleast, Beschleunigungs-Pramiazahlung vereinbart); (c) IATF-Qualifizierungs-Audit-Termin im November 2024 (Mitigation: externe Q-Vorbereitung durch ProQM-Consulting); (d) PPAP-Lieferantenfreigaben Halbleiter (Mitigation: woechentlicher Status-Call mit NXP-Account-Team).</w:t>
      </w:r>
    </w:p>
    <w:p>
      <w:pPr>
        <w:pStyle w:val="Heading3"/>
      </w:pPr>
      <w:r>
        <w:t>Kommunikation OEM / Kunden</w:t>
      </w:r>
    </w:p>
    <w:p>
      <w:r>
        <w:t>VW Group (Volkswagen Konzern Beschaffung Wolfsburg) wurde im SteerCo-Reporting am 28. Mai 2024 ueber den aktuellen Projektstatus unterrichtet (SOP Q4/2024 plangemaess). BMW Group, Hyundai und CATL erhalten quartalsweise Status-Updates im Rahmen der Customer-Reviews. Eine Werksbesichtigung fuer VW Group ist fuer August 2024 geplant.</w:t>
      </w:r>
    </w:p>
    <w:p>
      <w:pPr>
        <w:pStyle w:val="Heading3"/>
      </w:pPr>
      <w:r>
        <w:t>Unterschriften</w:t>
      </w:r>
    </w:p>
    <w:p>
      <w:r>
        <w:t>Ort, Datum: Heilbronn, den 30. Mai 2024</w:t>
      </w:r>
    </w:p>
    <w:p>
      <w:r>
        <w:t>_________________________            _________________________</w:t>
        <w:br/>
        <w:t>Andreas Maier                          Dr. Thomas Weber</w:t>
        <w:br/>
        <w:t>Werkleiter REG Heilbronn                          COO / Gesamtprojektleitung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