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(Shanghai) Co. Ltd. / 罗瑞格 (上海) 电子有限公司</w:t>
      </w:r>
    </w:p>
    <w:p>
      <w:r>
        <w:rPr>
          <w:sz w:val="18"/>
        </w:rPr>
        <w:t>88 Pudong Avenue, Building B, 200120 Shanghai, China  |  Unified Social Credit Code 91310115MA1FL42Q38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Tax Assessment / Steuerbescheid 2021 – Brennhagen (Shanghai) Co. Ltd.</w:t>
      </w:r>
    </w:p>
    <w:p>
      <w:pPr>
        <w:jc w:val="center"/>
      </w:pPr>
      <w:r>
        <w:t>Steuerveranlagung des Steuerjahres 2021 (CIT / VAT / IIT-Compliance) | Behoerde: Shanghai Tax Bureau, Pudong Branch</w:t>
      </w:r>
    </w:p>
    <w:p/>
    <w:p>
      <w:pPr>
        <w:pStyle w:val="Heading3"/>
      </w:pPr>
      <w:r>
        <w:t>Bescheid-Kopfdaten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Behoerde</w:t>
            </w:r>
          </w:p>
        </w:tc>
        <w:tc>
          <w:tcPr>
            <w:tcW w:type="dxa" w:w="4320"/>
          </w:tcPr>
          <w:p>
            <w:r>
              <w:t>State Tax Administration / Shanghai Pudong Tax Bureau</w:t>
            </w:r>
          </w:p>
        </w:tc>
      </w:tr>
      <w:tr>
        <w:tc>
          <w:tcPr>
            <w:tcW w:type="dxa" w:w="4320"/>
          </w:tcPr>
          <w:p>
            <w:r>
              <w:t>Aktenzeichen</w:t>
            </w:r>
          </w:p>
        </w:tc>
        <w:tc>
          <w:tcPr>
            <w:tcW w:type="dxa" w:w="4320"/>
          </w:tcPr>
          <w:p>
            <w:r>
              <w:t>STB-PUDONG-2022-CIT-91310115MA1FL42Q38</w:t>
            </w:r>
          </w:p>
        </w:tc>
      </w:tr>
      <w:tr>
        <w:tc>
          <w:tcPr>
            <w:tcW w:type="dxa" w:w="4320"/>
          </w:tcPr>
          <w:p>
            <w:r>
              <w:t>Steuerpflichtiger</w:t>
            </w:r>
          </w:p>
        </w:tc>
        <w:tc>
          <w:tcPr>
            <w:tcW w:type="dxa" w:w="4320"/>
          </w:tcPr>
          <w:p>
            <w:r>
              <w:t>Brennhagen (Shanghai) Co. Ltd.</w:t>
            </w:r>
          </w:p>
        </w:tc>
      </w:tr>
      <w:tr>
        <w:tc>
          <w:tcPr>
            <w:tcW w:type="dxa" w:w="4320"/>
          </w:tcPr>
          <w:p>
            <w:r>
              <w:t>Steuerjahr</w:t>
            </w:r>
          </w:p>
        </w:tc>
        <w:tc>
          <w:tcPr>
            <w:tcW w:type="dxa" w:w="4320"/>
          </w:tcPr>
          <w:p>
            <w:r>
              <w:t>1.1.2021 – 31.12.2021</w:t>
            </w:r>
          </w:p>
        </w:tc>
      </w:tr>
      <w:tr>
        <w:tc>
          <w:tcPr>
            <w:tcW w:type="dxa" w:w="4320"/>
          </w:tcPr>
          <w:p>
            <w:r>
              <w:t>Bescheid-Datum</w:t>
            </w:r>
          </w:p>
        </w:tc>
        <w:tc>
          <w:tcPr>
            <w:tcW w:type="dxa" w:w="4320"/>
          </w:tcPr>
          <w:p>
            <w:r>
              <w:t>14. Juni 2022</w:t>
            </w:r>
          </w:p>
        </w:tc>
      </w:tr>
      <w:tr>
        <w:tc>
          <w:tcPr>
            <w:tcW w:type="dxa" w:w="4320"/>
          </w:tcPr>
          <w:p>
            <w:r>
              <w:t>Bearbeitende Steuerberatung</w:t>
            </w:r>
          </w:p>
        </w:tc>
        <w:tc>
          <w:tcPr>
            <w:tcW w:type="dxa" w:w="4320"/>
          </w:tcPr>
          <w:p>
            <w:r>
              <w:t>Deloitte China (Shanghai); Lead Partner Felix Cheng</w:t>
            </w:r>
          </w:p>
        </w:tc>
      </w:tr>
      <w:tr>
        <w:tc>
          <w:tcPr>
            <w:tcW w:type="dxa" w:w="4320"/>
          </w:tcPr>
          <w:p>
            <w:r>
              <w:t>Berichts-Empfaenger (Konzern)</w:t>
            </w:r>
          </w:p>
        </w:tc>
        <w:tc>
          <w:tcPr>
            <w:tcW w:type="dxa" w:w="4320"/>
          </w:tcPr>
          <w:p>
            <w:r>
              <w:t>Dr. Heike Berger (Group Tax Director), Florian Maier (Group Controller)</w:t>
            </w:r>
          </w:p>
        </w:tc>
      </w:tr>
    </w:tbl>
    <w:p>
      <w:pPr>
        <w:pStyle w:val="Heading3"/>
      </w:pPr>
      <w:r>
        <w:t>Festsetzung Koerperschaftsteuer (CIT)</w:t>
      </w:r>
    </w:p>
    <w:p>
      <w:r>
        <w:t>Festgesetzte Koerperschaftsteuer (Corporate Income Tax, CIT) fuer 2021: CNY 8.110.000 (zum Stichtagskurs ca. EUR 1.046.424). Bemessungsgrundlage: Steuerlicher Gewinn vor Steuern CNY 32.440.000 (ca. EUR 4,18 Mio.); Steuersatz 25 % (Standard-CIT-Satz). Verrechnungspreis-Anpassungen: keine (TP-Local-File-Pruefung ohne Beanstandung). Foerderungen / Steuer-Holidays: nicht beansprucht (R&amp;D-Tax-Incentive aufgrund fehlender lokal qualifizierter F&amp;E-Aktivitaeten nicht anwendbar).</w:t>
      </w:r>
    </w:p>
    <w:p>
      <w:pPr>
        <w:pStyle w:val="Heading3"/>
      </w:pPr>
      <w:r>
        <w:t>Umsatzsteuer (VAT) und Quellensteuer</w:t>
      </w:r>
    </w:p>
    <w:p>
      <w:r>
        <w:t>Festgesetzte VAT (Value Added Tax) 2021: CNY 5.244.000 (Standard-VAT-Satz 13 % auf Produktverkaeufe in China). Vorsteuer-Abzug: vollstaendig anerkannt. Quellensteuer (Withholding Tax) auf konzerninterne Dividenden: 10 % (DBA-Schutz Deutschland-China gilt fuer 5 %-Quellensteuer; jedoch wurde 2021 keine Dividende ausgeschuettet). Lohnsteuer (Individual Income Tax, IIT): durch Payroll-Provider HRConnect Shanghai abgewickelt, keine Beanstandung.</w:t>
      </w:r>
    </w:p>
    <w:p>
      <w:pPr>
        <w:pStyle w:val="Heading3"/>
      </w:pPr>
      <w:r>
        <w:t>Audit-Ergebnis und Findings</w:t>
      </w:r>
    </w:p>
    <w:p>
      <w:r>
        <w:t>Steuerpruefung durch das Pudong Tax Bureau erfolgte im Maerz/April 2022. Schwerpunkt: (a) Verrechnungspreise (TP) im Konzernverbund (Brennhagen Holding GmbH, Brennhagen Elektronik AG); (b) Cross-Border Service Fees (intragroup), insbesondere SAP-Lizenzen und Konzern-Management-Fee; (c) Vorsteuer-Abzug auf importierte Halbleiter. Findings: keine wesentlichen Beanstandungen; 1 informaler Hinweis zu Sub-Stantiation der Konzern-Management-Fee (zu adressieren in TP-Local File 2022).</w:t>
      </w:r>
    </w:p>
    <w:p>
      <w:pPr>
        <w:pStyle w:val="Heading3"/>
      </w:pPr>
      <w:r>
        <w:t>Konsequenzen / Massnahmen Konzern</w:t>
      </w:r>
    </w:p>
    <w:p>
      <w:r>
        <w:t>Group Tax Director Dr. Heike Berger nimmt den Bescheid an; keine Einspruchsverfahren erforderlich. Massnahmen: (a) TP-Local-File 2022 mit erweiterter Begruendung der Konzern-Management-Fee (Benchmarking, Beneficial-Owner-Test); (b) Dokumentation IT-Service-Recharges mit detaillierten Stundenaufzeichnungen; (c) abgestimmt mit PwC Tax Shanghai. Zahlungseingang Steuerschuld vollstaendig binnen Frist.</w:t>
      </w:r>
    </w:p>
    <w:p>
      <w:pPr>
        <w:pStyle w:val="Heading3"/>
      </w:pPr>
      <w:r>
        <w:t>Bestaetigungen</w:t>
      </w:r>
    </w:p>
    <w:p>
      <w:r>
        <w:t>Ort, Datum: Shanghai, den 20. Juni 2022</w:t>
      </w:r>
    </w:p>
    <w:p>
      <w:r>
        <w:t>_________________________            _________________________</w:t>
        <w:br/>
        <w:t>Liang Wei                          Dr. Heike Berger</w:t>
        <w:br/>
        <w:t>Finance Manager RCN Shanghai                          Group Tax Director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