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(ECR) #003 – BatteryMS-12 (BMS-12) – BMW Group</w:t>
      </w:r>
    </w:p>
    <w:p>
      <w:pPr>
        <w:jc w:val="center"/>
      </w:pPr>
      <w:r>
        <w:t>ECR im Rahmen des BMW-Liefer-/Entwicklungsprojekts NEUE KLASSE; Reviewed Edition</w:t>
      </w:r>
    </w:p>
    <w:p/>
    <w:p>
      <w:pPr>
        <w:pStyle w:val="Heading3"/>
      </w:pPr>
      <w:r>
        <w:t>ECR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ECR-2023-BMW-BMS12-003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BMS-12 Battery Management System (BMW NEUE KLASSE i-Plattform)</w:t>
            </w:r>
          </w:p>
        </w:tc>
      </w:tr>
      <w:tr>
        <w:tc>
          <w:tcPr>
            <w:tcW w:type="dxa" w:w="4320"/>
          </w:tcPr>
          <w:p>
            <w:r>
              <w:t>Sachgrund</w:t>
            </w:r>
          </w:p>
        </w:tc>
        <w:tc>
          <w:tcPr>
            <w:tcW w:type="dxa" w:w="4320"/>
          </w:tcPr>
          <w:p>
            <w:r>
              <w:t>Aenderung Zelltyp (von prismatisch 2170 auf 4680) zwecks Energie-Dichte</w:t>
            </w:r>
          </w:p>
        </w:tc>
      </w:tr>
      <w:tr>
        <w:tc>
          <w:tcPr>
            <w:tcW w:type="dxa" w:w="4320"/>
          </w:tcPr>
          <w:p>
            <w:r>
              <w:t>Initiator (BMW)</w:t>
            </w:r>
          </w:p>
        </w:tc>
        <w:tc>
          <w:tcPr>
            <w:tcW w:type="dxa" w:w="4320"/>
          </w:tcPr>
          <w:p>
            <w:r>
              <w:t>Dr. Stefan Wagner, Senior Engineer Batteriesysteme BMW Group</w:t>
            </w:r>
          </w:p>
        </w:tc>
      </w:tr>
      <w:tr>
        <w:tc>
          <w:tcPr>
            <w:tcW w:type="dxa" w:w="4320"/>
          </w:tcPr>
          <w:p>
            <w:r>
              <w:t>Empfaenger (Brennhagen)</w:t>
            </w:r>
          </w:p>
        </w:tc>
        <w:tc>
          <w:tcPr>
            <w:tcW w:type="dxa" w:w="4320"/>
          </w:tcPr>
          <w:p>
            <w:r>
              <w:t>Dr. Klaus Kessler, RSG Muenchen (Werkleiter); Lars Wittmann (Lead Dev)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– Phase 1 Engineering Assessment abgeschlossen</w:t>
            </w:r>
          </w:p>
        </w:tc>
      </w:tr>
      <w:tr>
        <w:tc>
          <w:tcPr>
            <w:tcW w:type="dxa" w:w="4320"/>
          </w:tcPr>
          <w:p>
            <w:r>
              <w:t>Eingang ECR</w:t>
            </w:r>
          </w:p>
        </w:tc>
        <w:tc>
          <w:tcPr>
            <w:tcW w:type="dxa" w:w="4320"/>
          </w:tcPr>
          <w:p>
            <w:r>
              <w:t>14. September 2023</w:t>
            </w:r>
          </w:p>
        </w:tc>
      </w:tr>
      <w:tr>
        <w:tc>
          <w:tcPr>
            <w:tcW w:type="dxa" w:w="4320"/>
          </w:tcPr>
          <w:p>
            <w:r>
              <w:t>Review-Frist Brennhagen</w:t>
            </w:r>
          </w:p>
        </w:tc>
        <w:tc>
          <w:tcPr>
            <w:tcW w:type="dxa" w:w="4320"/>
          </w:tcPr>
          <w:p>
            <w:r>
              <w:t>30 Werktage (ECR-Standard)</w:t>
            </w:r>
          </w:p>
        </w:tc>
      </w:tr>
      <w:tr>
        <w:tc>
          <w:tcPr>
            <w:tcW w:type="dxa" w:w="4320"/>
          </w:tcPr>
          <w:p>
            <w:r>
              <w:t>Quotation-Frist</w:t>
            </w:r>
          </w:p>
        </w:tc>
        <w:tc>
          <w:tcPr>
            <w:tcW w:type="dxa" w:w="4320"/>
          </w:tcPr>
          <w:p>
            <w:r>
              <w:t>60 Werktage nach Engineering Approval</w:t>
            </w:r>
          </w:p>
        </w:tc>
      </w:tr>
    </w:tbl>
    <w:p>
      <w:pPr>
        <w:pStyle w:val="Heading3"/>
      </w:pPr>
      <w:r>
        <w:t>Aenderungsbeschreibung</w:t>
      </w:r>
    </w:p>
    <w:p>
      <w:r>
        <w:t>BMW Group fordert eine Aenderung des BMS-12 zur Unterstuetzung der naechsten Generation zylindrischer Lithium-Ionen-Zellen 4680 (anstelle der urspruenglich spezifizierten prismatischen 2170-Zellen). Aenderungsumfang: (a) Anpassung Cell-Voltage-Monitoring (BMS-IC und Wiring); (b) Update Battery-Pack-Algorithmen (State-of-Charge-Estimator, State-of-Health-Estimator); (c) Anpassung Sicherheits-Pruefkette (ISO 26262 ASIL D Re-Validation).</w:t>
      </w:r>
    </w:p>
    <w:p>
      <w:pPr>
        <w:pStyle w:val="Heading3"/>
      </w:pPr>
      <w:r>
        <w:t>Engineering Assessment</w:t>
      </w:r>
    </w:p>
    <w:p>
      <w:r>
        <w:t>Phase 1 Engineering Assessment durch RSG Muenchen (Lead: Lars Wittmann, 18 Personen Team) ergibt: technisch machbar, Aufwand 14.200 Engineering-Stunden (ca. 9 FTE-Monate). Auswirkungen auf Time-to-Market: SOP-Verzoegerung von Q2/2025 auf Q4/2025 wahrscheinlich. Mehrkosten fuer Re-Validierung ASIL D (ISO 26262): EUR 0,8 Mio. (Test-Equipment, Pruefstandsbelegung TUEV Sued / DEKRA). Materialkosten: BMS-IC-Bauteilkosten bleiben unveraendert; PCB-Layout-Aenderung (Re-Spin) noetig (1 Iteration, EUR 280k NRE).</w:t>
      </w:r>
    </w:p>
    <w:p>
      <w:pPr>
        <w:pStyle w:val="Heading3"/>
      </w:pPr>
      <w:r>
        <w:t>Kommerzielle 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NRE-Mehraufwand (Re-Engineering, Re-Validation)</w:t>
            </w:r>
          </w:p>
        </w:tc>
        <w:tc>
          <w:tcPr>
            <w:tcW w:type="dxa" w:w="4320"/>
          </w:tcPr>
          <w:p>
            <w:r>
              <w:t>EUR 1,4 Mio.</w:t>
            </w:r>
          </w:p>
        </w:tc>
      </w:tr>
      <w:tr>
        <w:tc>
          <w:tcPr>
            <w:tcW w:type="dxa" w:w="4320"/>
          </w:tcPr>
          <w:p>
            <w:r>
              <w:t>Stueckpreis-Aenderung (PPV)</w:t>
            </w:r>
          </w:p>
        </w:tc>
        <w:tc>
          <w:tcPr>
            <w:tcW w:type="dxa" w:w="4320"/>
          </w:tcPr>
          <w:p>
            <w:r>
              <w:t>Keine (Material bleibt aequivalent)</w:t>
            </w:r>
          </w:p>
        </w:tc>
      </w:tr>
      <w:tr>
        <w:tc>
          <w:tcPr>
            <w:tcW w:type="dxa" w:w="4320"/>
          </w:tcPr>
          <w:p>
            <w:r>
              <w:t>Time-to-Market-Verzoegerung</w:t>
            </w:r>
          </w:p>
        </w:tc>
        <w:tc>
          <w:tcPr>
            <w:tcW w:type="dxa" w:w="4320"/>
          </w:tcPr>
          <w:p>
            <w:r>
              <w:t>ca. 6 Monate (Q4/2025 statt Q2/2025)</w:t>
            </w:r>
          </w:p>
        </w:tc>
      </w:tr>
      <w:tr>
        <w:tc>
          <w:tcPr>
            <w:tcW w:type="dxa" w:w="4320"/>
          </w:tcPr>
          <w:p>
            <w:r>
              <w:t>Volumen-Anpassung</w:t>
            </w:r>
          </w:p>
        </w:tc>
        <w:tc>
          <w:tcPr>
            <w:tcW w:type="dxa" w:w="4320"/>
          </w:tcPr>
          <w:p>
            <w:r>
              <w:t>Keine (5-Jahres-Volumen-Forecast unveraendert)</w:t>
            </w:r>
          </w:p>
        </w:tc>
      </w:tr>
      <w:tr>
        <w:tc>
          <w:tcPr>
            <w:tcW w:type="dxa" w:w="4320"/>
          </w:tcPr>
          <w:p>
            <w:r>
              <w:t>Zahlungsbedingungen NRE</w:t>
            </w:r>
          </w:p>
        </w:tc>
        <w:tc>
          <w:tcPr>
            <w:tcW w:type="dxa" w:w="4320"/>
          </w:tcPr>
          <w:p>
            <w:r>
              <w:t>30 % bei Approval; 40 % bei DV-Test; 30 % bei SOP</w:t>
            </w:r>
          </w:p>
        </w:tc>
      </w:tr>
    </w:tbl>
    <w:p>
      <w:pPr>
        <w:pStyle w:val="Heading3"/>
      </w:pPr>
      <w:r>
        <w:t>Naechste Schritte</w:t>
      </w:r>
    </w:p>
    <w:p>
      <w:r>
        <w:t>Brennhagen versendet finales Quotation und revidierten Projektplan binnen 30 Werktagen. BMW Group prueft und gibt formale ECR-Freigabe (Q-Stempel) durch Procurement und Engineering Sign-off. Anschliessend Vertragsaenderung (Anlage zum Rahmenliefervertrag #BMW-2021-ICP3-BMS12). Reviewed durch: Dr. Klaus Kessler (Werkleiter RSG), Stefan Richter (Vorstand BD/M&amp;A; Quotation), Florian Maier (Group Controlling; Margin-Pruefung).</w:t>
      </w:r>
    </w:p>
    <w:p>
      <w:pPr>
        <w:pStyle w:val="Heading3"/>
      </w:pPr>
      <w:r>
        <w:t>Unterschriften / Sign-off</w:t>
      </w:r>
    </w:p>
    <w:p>
      <w:r>
        <w:t>Ort, Datum: Muenchen, den 9. Oktober 2023</w:t>
      </w:r>
    </w:p>
    <w:p>
      <w:r>
        <w:t>_________________________            _________________________</w:t>
        <w:br/>
        <w:t>Lars Wittmann                          Dr. Stefan Wagner</w:t>
        <w:br/>
        <w:t>Lead Developer / RSG Muenchen                          Senior Engineer Batteriesysteme</w:t>
        <w:br/>
        <w:t>Brennhagen Elektronik AG                       BMW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