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Unternehmens-Teaser – Strategischer Prozess 2024 [SANITIZED]</w:t>
      </w:r>
    </w:p>
    <w:p>
      <w:pPr>
        <w:jc w:val="center"/>
      </w:pPr>
      <w:r>
        <w:t>Sell-side Teaser-Variante zur Marktansprache potenzieller Investoren / Co-Investoren</w:t>
      </w:r>
    </w:p>
    <w:p/>
    <w:p>
      <w:pPr>
        <w:pStyle w:val="Heading3"/>
      </w:pPr>
      <w:r>
        <w:t>Company Overview (Sanitized)</w:t>
      </w:r>
    </w:p>
    <w:p>
      <w:r>
        <w:t>The »Company« is a leading Tier-1 automotive electronics supplier headquartered in Southern Germany, listed on the Prime Standard segment of the Frankfurt Stock Exchange. The Company develops, manufactures, and distributes infotainment modules, battery management systems (BMS), advanced driver assistance system (ADAS) electronic control units, and powertrain electronics to a blue-chip OEM customer base across the European and Asian automotive industries.</w:t>
      </w:r>
    </w:p>
    <w:p>
      <w:pPr>
        <w:pStyle w:val="Heading3"/>
      </w:pPr>
      <w:r>
        <w:t>Investment Highlights</w:t>
      </w:r>
    </w:p>
    <w:p>
      <w:pPr>
        <w:pStyle w:val="ListBullet"/>
      </w:pPr>
      <w:r>
        <w:t>Prime Standard-listed; market capitalization EUR 2,15 bn (as of latest reporting period).</w:t>
      </w:r>
    </w:p>
    <w:p>
      <w:pPr>
        <w:pStyle w:val="ListBullet"/>
      </w:pPr>
      <w:r>
        <w:t>FY 2023: Revenue EUR 612 m (+2 % YoY); EBITDA EUR 74,3 m (margin 12,1 %).</w:t>
      </w:r>
    </w:p>
    <w:p>
      <w:pPr>
        <w:pStyle w:val="ListBullet"/>
      </w:pPr>
      <w:r>
        <w:t>Blue-chip OEM customer base: BMW Group (28 % revenue), Volkswagen AG (22 %), Mercedes-Benz Group (18 %), Stellantis N.V. (10 %), Hyundai/CATL (8 %), others (14 %).</w:t>
      </w:r>
    </w:p>
    <w:p>
      <w:pPr>
        <w:pStyle w:val="ListBullet"/>
      </w:pPr>
      <w:r>
        <w:t>Strategic growth platforms: Battery Management Systems (BMS-12, secured order with VW for ID.7), ADAS Level 2-3 (radar fusion ECU on Mercedes/Stellantis platforms), Energy-Software-as-a-Service (new strategic pillar from 2024).</w:t>
      </w:r>
    </w:p>
    <w:p>
      <w:pPr>
        <w:pStyle w:val="ListBullet"/>
      </w:pPr>
      <w:r>
        <w:t>Order book at record high (&gt;EUR 2,1 bn at year-end 2023); revenue visibility 3,4 years.</w:t>
      </w:r>
    </w:p>
    <w:p>
      <w:pPr>
        <w:pStyle w:val="ListBullet"/>
      </w:pPr>
      <w:r>
        <w:t>Multi-country production footprint (Germany, Czech Republic, Poland, Hungary, China) with IATF 16949 / ASPICE / ISO certifications.</w:t>
      </w:r>
    </w:p>
    <w:p>
      <w:pPr>
        <w:pStyle w:val="Heading3"/>
      </w:pPr>
      <w:r>
        <w:t>Key Financials (sanitized)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EUR Mio.</w:t>
            </w:r>
          </w:p>
        </w:tc>
        <w:tc>
          <w:tcPr>
            <w:tcW w:type="dxa" w:w="1728"/>
          </w:tcPr>
          <w:p>
            <w:r>
              <w:t>FY 2020</w:t>
            </w:r>
          </w:p>
        </w:tc>
        <w:tc>
          <w:tcPr>
            <w:tcW w:type="dxa" w:w="1728"/>
          </w:tcPr>
          <w:p>
            <w:r>
              <w:t>FY 2021</w:t>
            </w:r>
          </w:p>
        </w:tc>
        <w:tc>
          <w:tcPr>
            <w:tcW w:type="dxa" w:w="1728"/>
          </w:tcPr>
          <w:p>
            <w:r>
              <w:t>FY 2022</w:t>
            </w:r>
          </w:p>
        </w:tc>
        <w:tc>
          <w:tcPr>
            <w:tcW w:type="dxa" w:w="1728"/>
          </w:tcPr>
          <w:p>
            <w:r>
              <w:t>FY 2023</w:t>
            </w:r>
          </w:p>
        </w:tc>
      </w:tr>
      <w:tr>
        <w:tc>
          <w:tcPr>
            <w:tcW w:type="dxa" w:w="1728"/>
          </w:tcPr>
          <w:p>
            <w:r>
              <w:t>Revenue</w:t>
            </w:r>
          </w:p>
        </w:tc>
        <w:tc>
          <w:tcPr>
            <w:tcW w:type="dxa" w:w="1728"/>
          </w:tcPr>
          <w:p>
            <w:r>
              <w:t>542</w:t>
            </w:r>
          </w:p>
        </w:tc>
        <w:tc>
          <w:tcPr>
            <w:tcW w:type="dxa" w:w="1728"/>
          </w:tcPr>
          <w:p>
            <w:r>
              <w:t>580</w:t>
            </w:r>
          </w:p>
        </w:tc>
        <w:tc>
          <w:tcPr>
            <w:tcW w:type="dxa" w:w="1728"/>
          </w:tcPr>
          <w:p>
            <w:r>
              <w:t>600</w:t>
            </w:r>
          </w:p>
        </w:tc>
        <w:tc>
          <w:tcPr>
            <w:tcW w:type="dxa" w:w="1728"/>
          </w:tcPr>
          <w:p>
            <w:r>
              <w:t>612</w:t>
            </w:r>
          </w:p>
        </w:tc>
      </w:tr>
      <w:tr>
        <w:tc>
          <w:tcPr>
            <w:tcW w:type="dxa" w:w="1728"/>
          </w:tcPr>
          <w:p>
            <w:r>
              <w:t>EBITDA</w:t>
            </w:r>
          </w:p>
        </w:tc>
        <w:tc>
          <w:tcPr>
            <w:tcW w:type="dxa" w:w="1728"/>
          </w:tcPr>
          <w:p>
            <w:r>
              <w:t>64</w:t>
            </w:r>
          </w:p>
        </w:tc>
        <w:tc>
          <w:tcPr>
            <w:tcW w:type="dxa" w:w="1728"/>
          </w:tcPr>
          <w:p>
            <w:r>
              <w:t>70</w:t>
            </w:r>
          </w:p>
        </w:tc>
        <w:tc>
          <w:tcPr>
            <w:tcW w:type="dxa" w:w="1728"/>
          </w:tcPr>
          <w:p>
            <w:r>
              <w:t>73</w:t>
            </w:r>
          </w:p>
        </w:tc>
        <w:tc>
          <w:tcPr>
            <w:tcW w:type="dxa" w:w="1728"/>
          </w:tcPr>
          <w:p>
            <w:r>
              <w:t>74,3</w:t>
            </w:r>
          </w:p>
        </w:tc>
      </w:tr>
      <w:tr>
        <w:tc>
          <w:tcPr>
            <w:tcW w:type="dxa" w:w="1728"/>
          </w:tcPr>
          <w:p>
            <w:r>
              <w:t>EBITDA-Margin</w:t>
            </w:r>
          </w:p>
        </w:tc>
        <w:tc>
          <w:tcPr>
            <w:tcW w:type="dxa" w:w="1728"/>
          </w:tcPr>
          <w:p>
            <w:r>
              <w:t>11,8 %</w:t>
            </w:r>
          </w:p>
        </w:tc>
        <w:tc>
          <w:tcPr>
            <w:tcW w:type="dxa" w:w="1728"/>
          </w:tcPr>
          <w:p>
            <w:r>
              <w:t>12,1 %</w:t>
            </w:r>
          </w:p>
        </w:tc>
        <w:tc>
          <w:tcPr>
            <w:tcW w:type="dxa" w:w="1728"/>
          </w:tcPr>
          <w:p>
            <w:r>
              <w:t>12,2 %</w:t>
            </w:r>
          </w:p>
        </w:tc>
        <w:tc>
          <w:tcPr>
            <w:tcW w:type="dxa" w:w="1728"/>
          </w:tcPr>
          <w:p>
            <w:r>
              <w:t>12,1 %</w:t>
            </w:r>
          </w:p>
        </w:tc>
      </w:tr>
      <w:tr>
        <w:tc>
          <w:tcPr>
            <w:tcW w:type="dxa" w:w="1728"/>
          </w:tcPr>
          <w:p>
            <w:r>
              <w:t>EBIT</w:t>
            </w:r>
          </w:p>
        </w:tc>
        <w:tc>
          <w:tcPr>
            <w:tcW w:type="dxa" w:w="1728"/>
          </w:tcPr>
          <w:p>
            <w:r>
              <w:t>38</w:t>
            </w:r>
          </w:p>
        </w:tc>
        <w:tc>
          <w:tcPr>
            <w:tcW w:type="dxa" w:w="1728"/>
          </w:tcPr>
          <w:p>
            <w:r>
              <w:t>42</w:t>
            </w:r>
          </w:p>
        </w:tc>
        <w:tc>
          <w:tcPr>
            <w:tcW w:type="dxa" w:w="1728"/>
          </w:tcPr>
          <w:p>
            <w:r>
              <w:t>47</w:t>
            </w:r>
          </w:p>
        </w:tc>
        <w:tc>
          <w:tcPr>
            <w:tcW w:type="dxa" w:w="1728"/>
          </w:tcPr>
          <w:p>
            <w:r>
              <w:t>48,9</w:t>
            </w:r>
          </w:p>
        </w:tc>
      </w:tr>
      <w:tr>
        <w:tc>
          <w:tcPr>
            <w:tcW w:type="dxa" w:w="1728"/>
          </w:tcPr>
          <w:p>
            <w:r>
              <w:t>FTE (Year-end)</w:t>
            </w:r>
          </w:p>
        </w:tc>
        <w:tc>
          <w:tcPr>
            <w:tcW w:type="dxa" w:w="1728"/>
          </w:tcPr>
          <w:p>
            <w:r>
              <w:t>3.620</w:t>
            </w:r>
          </w:p>
        </w:tc>
        <w:tc>
          <w:tcPr>
            <w:tcW w:type="dxa" w:w="1728"/>
          </w:tcPr>
          <w:p>
            <w:r>
              <w:t>3.820</w:t>
            </w:r>
          </w:p>
        </w:tc>
        <w:tc>
          <w:tcPr>
            <w:tcW w:type="dxa" w:w="1728"/>
          </w:tcPr>
          <w:p>
            <w:r>
              <w:t>4.020</w:t>
            </w:r>
          </w:p>
        </w:tc>
        <w:tc>
          <w:tcPr>
            <w:tcW w:type="dxa" w:w="1728"/>
          </w:tcPr>
          <w:p>
            <w:r>
              <w:t>4.180</w:t>
            </w:r>
          </w:p>
        </w:tc>
      </w:tr>
    </w:tbl>
    <w:p>
      <w:pPr>
        <w:pStyle w:val="Heading3"/>
      </w:pPr>
      <w:r>
        <w:t>Process Information</w:t>
      </w:r>
    </w:p>
    <w:p>
      <w:r>
        <w:t>This Teaser is being made available on a confidential basis to selected pre-qualified investors. Any expression of interest should be addressed exclusively to the M&amp;A advisor (Goldman Sachs International, Frankfurt; Lead Senior Banker Dr. Klaus Bessler). Bid-Procedure-Letter and access to the Information Memorandum / Virtual Data Room will be provided upon execution of a Non-Disclosure Agreement (NDA) using the advisor's template. Indicative bid deadline: TBD. Selected bidders will be invited to a structured DD process (financial / legal / tax / commercial / technical) following the timeline communicated in the Process Letter.</w:t>
      </w:r>
    </w:p>
    <w:p>
      <w:pPr>
        <w:pStyle w:val="Heading3"/>
      </w:pPr>
      <w:r>
        <w:t>Disclaimer</w:t>
      </w:r>
    </w:p>
    <w:p>
      <w:r>
        <w:t>This document has been sanitized for confidentiality purposes. Identification of the »Company« may not be readily possible based on this Teaser; however, the contents are accurate as of the date of issuance. No representation or warranty is made as to the accuracy or completeness of the information contained herein. Forward-looking statements are subject to risks and uncertainties. Prepared by: Goldman Sachs International (M&amp;A advisor) in coordination with Stefan Richter (Vorstand BD/M&amp;A, Brennhagen Elektronik AG).</w:t>
      </w:r>
    </w:p>
    <w:p>
      <w:pPr>
        <w:pStyle w:val="Heading3"/>
      </w:pPr>
      <w:r>
        <w:t>Verteiler / Distribution Log</w:t>
      </w:r>
    </w:p>
    <w:p>
      <w:r>
        <w:t>Distribution is strictly limited and recorded in the central NDA-Register (REA_NDA_Register_2023.xlsx). Schwellenwert fuer Verteilung: vorhandene unterzeichnete NDA (Hengeler-Mueller-Template); Distribution List freigegeben durch S. Richter und L. Bauer (CFO). Distribution erfolgt ueber Concord Deal Room mit Wasserzeichen-Trace.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