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Share Purchase Agreement (Auszug) – Brennhagen (Shanghai) Co. Ltd.</w:t>
      </w:r>
    </w:p>
    <w:p>
      <w:pPr>
        <w:jc w:val="center"/>
      </w:pPr>
      <w:r>
        <w:t>Auszug zur ablage; Vollversion verwahrt bei Notarin Dr. Karin Sonneborn, Stuttgart</w:t>
      </w:r>
    </w:p>
    <w:p/>
    <w:p>
      <w:pPr>
        <w:pStyle w:val="Heading3"/>
      </w:pPr>
      <w:r>
        <w:t>Vertragsparteien</w:t>
      </w:r>
    </w:p>
    <w:p>
      <w:r>
        <w:t>(1) Brennhagen Holding GmbH, eingetragen im Handelsregister AG Stuttgart unter HRB 726450, Vaihinger Strasse 120, 70567 Stuttgart, vertreten durch die Geschaeftsfuehrung (»Erwerberin«);</w:t>
      </w:r>
    </w:p>
    <w:p>
      <w:r>
        <w:t>(2) Verkaeufer / JV-Partner gemaess Anlage 1.1 (»Veraeusserer«);</w:t>
      </w:r>
    </w:p>
    <w:p>
      <w:r>
        <w:t>(3) Brennhagen (Shanghai) Co. Ltd. (Konsolidierung JV-Restanteil 35 % von Yangtze Electronics) als Zielgesellschaft mit Sitz in Shanghai (CN), 88 Pudong Avenue, Building B, 200120 Shanghai, Registereintrag Unified Social Credit Code 91310115MA1FL42Q38 (»Zielgesellschaft«).</w:t>
      </w:r>
    </w:p>
    <w:p>
      <w:pPr>
        <w:pStyle w:val="Heading3"/>
      </w:pPr>
      <w:r>
        <w:t>Vertragliche Regelungen (Auszug)</w:t>
      </w:r>
    </w:p>
    <w:p>
      <w:pPr>
        <w:pStyle w:val="Heading4"/>
      </w:pPr>
      <w:r>
        <w:t>§ 1 Kaufgegenstand</w:t>
      </w:r>
    </w:p>
    <w:p>
      <w:r>
        <w:rPr>
          <w:b/>
        </w:rPr>
        <w:t xml:space="preserve">(1) </w:t>
      </w:r>
      <w:r>
        <w:t>Gegenstand des Kaufvertrags ist die Veraeusserung und Uebertragung der Geschaeftsanteile gemaess Equity Transfer Agreement (ETA) – Erwerb verbleibender 35 % JV-Anteile zur Vollkonsolidierung.</w:t>
      </w:r>
    </w:p>
    <w:p>
      <w:r>
        <w:rPr>
          <w:b/>
        </w:rPr>
        <w:t xml:space="preserve">(2) </w:t>
      </w:r>
      <w:r>
        <w:t>Stichtag der wirtschaftlichen Wirkung (Effective Date): 1. Januar 2021 (Locked-Box-Mechanik gemaess § 3).</w:t>
      </w:r>
    </w:p>
    <w:p>
      <w:pPr>
        <w:pStyle w:val="Heading4"/>
      </w:pPr>
      <w:r>
        <w:t>§ 2 Kaufpreis</w:t>
      </w:r>
    </w:p>
    <w:p>
      <w:r>
        <w:rPr>
          <w:b/>
        </w:rPr>
        <w:t xml:space="preserve">(1) </w:t>
      </w:r>
      <w:r>
        <w:t>Der Kaufpreis (Equity Value) betraegt EUR 8,4 Mio. (RMB 65 Mio. zum Stichtagskurs 1 EUR = 7,75 RMB) (Enterprise Value), vermindert um Net Debt zum Stichtag und angepasst um Working-Capital-Differenz zur Target NWC.</w:t>
      </w:r>
    </w:p>
    <w:p>
      <w:r>
        <w:rPr>
          <w:b/>
        </w:rPr>
        <w:t xml:space="preserve">(2) </w:t>
      </w:r>
      <w:r>
        <w:t>Zusaetzlich wird ein Earn-Out in Hoehe von max. Keine (Festpreis-Strukturierung) vereinbart, auszahlbar in zwei Tranchen nach Abnahme der jeweiligen Jahresabschluesse durch KPMG AG WPG.</w:t>
      </w:r>
    </w:p>
    <w:p>
      <w:r>
        <w:rPr>
          <w:b/>
        </w:rPr>
        <w:t xml:space="preserve">(3) </w:t>
      </w:r>
      <w:r>
        <w:t>Sicherungsmechanismen: 10 % des Equity Value (EUR 1,4 Mio. Czech / EUR 2,3 Mio. Hungary / EUR 0,8 Mio. Shanghai) werden bei einem Treuhaender (Escrow Agent: Deutsche Bank AG, Frankfurt) fuer 24 Monate hinterlegt zur Absicherung von Garantieansprueche.</w:t>
      </w:r>
    </w:p>
    <w:p>
      <w:pPr>
        <w:pStyle w:val="Heading4"/>
      </w:pPr>
      <w:r>
        <w:t>§ 3 Locked Box / Kaufpreis-Mechanik</w:t>
      </w:r>
    </w:p>
    <w:p>
      <w:r>
        <w:rPr>
          <w:b/>
        </w:rPr>
        <w:t xml:space="preserve">(1) </w:t>
      </w:r>
      <w:r>
        <w:t>Locked-Box-Stichtag: 31. Dezember 2020. Zwischen Stichtag und Closing duerfen keine Permitted Leakage Events ueber den vereinbarten Permitted-Leakage-Katalog (Anlage 3.1) hinaus erfolgen.</w:t>
      </w:r>
    </w:p>
    <w:p>
      <w:r>
        <w:rPr>
          <w:b/>
        </w:rPr>
        <w:t xml:space="preserve">(2) </w:t>
      </w:r>
      <w:r>
        <w:t>Verzinsung des Kaufpreises ab Stichtag bis Closing: 4,5 % p. a. (Ticking-Fee).</w:t>
      </w:r>
    </w:p>
    <w:p>
      <w:pPr>
        <w:pStyle w:val="Heading4"/>
      </w:pPr>
      <w:r>
        <w:t>§ 4 Garantien (Reps &amp; Warranties)</w:t>
      </w:r>
    </w:p>
    <w:p>
      <w:r>
        <w:rPr>
          <w:b/>
        </w:rPr>
        <w:t xml:space="preserve">(1) </w:t>
      </w:r>
      <w:r>
        <w:t>Verkaeufer-Garantien gemaess Garantie-Katalog (Anlage 4.1): Gesellschafts-, Bilanz-, Steuer-, Mitarbeiter-, Umwelt-, IP- und Compliance-Garantien.</w:t>
      </w:r>
    </w:p>
    <w:p>
      <w:r>
        <w:rPr>
          <w:b/>
        </w:rPr>
        <w:t xml:space="preserve">(2) </w:t>
      </w:r>
      <w:r>
        <w:t>Knowledge-Qualifier: »nach bestem Wissen« der namentlich benannten Knowledge Holder (CEO und CFO der Zielgesellschaft).</w:t>
      </w:r>
    </w:p>
    <w:p>
      <w:r>
        <w:rPr>
          <w:b/>
        </w:rPr>
        <w:t xml:space="preserve">(3) </w:t>
      </w:r>
      <w:r>
        <w:t>Cap: 15 % des Equity Value bei allgemeinen Garantien; 100 % bei Title- und Fundamental-Garantien; 5 % De-Minimis pro Einzelschaden; EUR 50.000 Basket.</w:t>
      </w:r>
    </w:p>
    <w:p>
      <w:r>
        <w:rPr>
          <w:b/>
        </w:rPr>
        <w:t xml:space="preserve">(4) </w:t>
      </w:r>
      <w:r>
        <w:t>Verjaehrungsfrist: 24 Monate (allgemein), 7 Jahre (Tax), 10 Jahre (Title-Garantien).</w:t>
      </w:r>
    </w:p>
    <w:p>
      <w:pPr>
        <w:pStyle w:val="Heading4"/>
      </w:pPr>
      <w:r>
        <w:t>§ 5 Specific Indemnities</w:t>
      </w:r>
    </w:p>
    <w:p>
      <w:r>
        <w:rPr>
          <w:b/>
        </w:rPr>
        <w:t xml:space="preserve">(1) </w:t>
      </w:r>
      <w:r>
        <w:t>Spezifische Verkaeufer-Freistellungen gemaess Anlage 5.1 fuer (a) anhaengige Litigation-Verfahren, (b) Vorsteuer-Risiko aus Konzern-Cost-Recharge 2017/2018, (c) potenzielle Altlasten am Standort gemaess Phase-I-ESA-Report.</w:t>
      </w:r>
    </w:p>
    <w:p>
      <w:pPr>
        <w:pStyle w:val="Heading4"/>
      </w:pPr>
      <w:r>
        <w:t>§ 6 W&amp;I-Versicherung</w:t>
      </w:r>
    </w:p>
    <w:p>
      <w:r>
        <w:rPr>
          <w:b/>
        </w:rPr>
        <w:t xml:space="preserve">(1) </w:t>
      </w:r>
      <w:r>
        <w:t>Die Erwerberin schliesst eine Warranty-&amp;-Indemnity-Versicherung (W&amp;I-Police) bei AIG Europe SA ab; Versicherungssumme EUR 8 Mio.; Selbstbehalt 0,5 % EV; Praemie EUR 96.000 (1,2 % VS).</w:t>
      </w:r>
    </w:p>
    <w:p>
      <w:pPr>
        <w:pStyle w:val="Heading4"/>
      </w:pPr>
      <w:r>
        <w:t>§ 7 Conditions Precedent / MAC</w:t>
      </w:r>
    </w:p>
    <w:p>
      <w:r>
        <w:rPr>
          <w:b/>
        </w:rPr>
        <w:t xml:space="preserve">(1) </w:t>
      </w:r>
      <w:r>
        <w:t>Closing-Voraussetzungen: (a) Kartellfreigabe der zustaendigen Behoerde (BWB Wien / GVH Budapest / MOFCOM Shanghai); (b) Konsent unter Change-of-Control-Klauseln bei vier OEM-Vertraegen (vgl. Anlage 7.1); (c) keine Material Adverse Change zwischen Signing und Closing.</w:t>
      </w:r>
    </w:p>
    <w:p>
      <w:pPr>
        <w:pStyle w:val="Heading4"/>
      </w:pPr>
      <w:r>
        <w:t>§ 8 Non-Compete / Non-Solicit</w:t>
      </w:r>
    </w:p>
    <w:p>
      <w:r>
        <w:rPr>
          <w:b/>
        </w:rPr>
        <w:t xml:space="preserve">(1) </w:t>
      </w:r>
      <w:r>
        <w:t>Wettbewerbsverbot der Veraeusserer fuer 36 Monate ab Closing, raeumlich Europa und Asien, sachlich Automotive-Elektronik. Abwerbeverbot fuer Schluesselpersonen fuer 24 Monate.</w:t>
      </w:r>
    </w:p>
    <w:p>
      <w:pPr>
        <w:pStyle w:val="Heading4"/>
      </w:pPr>
      <w:r>
        <w:t>§ 9 Anwendbares Recht / Schiedsklausel</w:t>
      </w:r>
    </w:p>
    <w:p>
      <w:r>
        <w:rPr>
          <w:b/>
        </w:rPr>
        <w:t xml:space="preserve">(1) </w:t>
      </w:r>
      <w:r>
        <w:t>Es gilt deutsches Recht (mit Ausnahme von UN-Kaufrecht). Streitigkeiten werden durch ein Schiedsgericht (ICC, Sitz Frankfurt am Main, drei Schiedsrichter, deutsche Sprache) entschieden.</w:t>
      </w:r>
    </w:p>
    <w:p>
      <w:pPr>
        <w:pStyle w:val="Heading3"/>
      </w:pPr>
      <w:r>
        <w:t>Anlagen-Verzeichnis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Anlage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Veraeusserer / Verkaeufer-Verzeichnis</w:t>
            </w:r>
          </w:p>
        </w:tc>
      </w:tr>
      <w:tr>
        <w:tc>
          <w:tcPr>
            <w:tcW w:type="dxa" w:w="4320"/>
          </w:tcPr>
          <w:p>
            <w:r>
              <w:t>3.1</w:t>
            </w:r>
          </w:p>
        </w:tc>
        <w:tc>
          <w:tcPr>
            <w:tcW w:type="dxa" w:w="4320"/>
          </w:tcPr>
          <w:p>
            <w:r>
              <w:t>Permitted-Leakage-Katalog</w:t>
            </w:r>
          </w:p>
        </w:tc>
      </w:tr>
      <w:tr>
        <w:tc>
          <w:tcPr>
            <w:tcW w:type="dxa" w:w="4320"/>
          </w:tcPr>
          <w:p>
            <w:r>
              <w:t>4.1</w:t>
            </w:r>
          </w:p>
        </w:tc>
        <w:tc>
          <w:tcPr>
            <w:tcW w:type="dxa" w:w="4320"/>
          </w:tcPr>
          <w:p>
            <w:r>
              <w:t>Garantie-Katalog (Reps &amp; Warranties)</w:t>
            </w:r>
          </w:p>
        </w:tc>
      </w:tr>
      <w:tr>
        <w:tc>
          <w:tcPr>
            <w:tcW w:type="dxa" w:w="4320"/>
          </w:tcPr>
          <w:p>
            <w:r>
              <w:t>5.1</w:t>
            </w:r>
          </w:p>
        </w:tc>
        <w:tc>
          <w:tcPr>
            <w:tcW w:type="dxa" w:w="4320"/>
          </w:tcPr>
          <w:p>
            <w:r>
              <w:t>Specific Indemnities</w:t>
            </w:r>
          </w:p>
        </w:tc>
      </w:tr>
      <w:tr>
        <w:tc>
          <w:tcPr>
            <w:tcW w:type="dxa" w:w="4320"/>
          </w:tcPr>
          <w:p>
            <w:r>
              <w:t>7.1</w:t>
            </w:r>
          </w:p>
        </w:tc>
        <w:tc>
          <w:tcPr>
            <w:tcW w:type="dxa" w:w="4320"/>
          </w:tcPr>
          <w:p>
            <w:r>
              <w:t>Change-of-Control-Konsente OEM</w:t>
            </w:r>
          </w:p>
        </w:tc>
      </w:tr>
      <w:tr>
        <w:tc>
          <w:tcPr>
            <w:tcW w:type="dxa" w:w="4320"/>
          </w:tcPr>
          <w:p>
            <w:r>
              <w:t>8.1</w:t>
            </w:r>
          </w:p>
        </w:tc>
        <w:tc>
          <w:tcPr>
            <w:tcW w:type="dxa" w:w="4320"/>
          </w:tcPr>
          <w:p>
            <w:r>
              <w:t>Wettbewerbsverbots-Personen</w:t>
            </w:r>
          </w:p>
        </w:tc>
      </w:tr>
      <w:tr>
        <w:tc>
          <w:tcPr>
            <w:tcW w:type="dxa" w:w="4320"/>
          </w:tcPr>
          <w:p>
            <w:r>
              <w:t>12.1</w:t>
            </w:r>
          </w:p>
        </w:tc>
        <w:tc>
          <w:tcPr>
            <w:tcW w:type="dxa" w:w="4320"/>
          </w:tcPr>
          <w:p>
            <w:r>
              <w:t>Disclosure Schedules (vollstaendig)</w:t>
            </w:r>
          </w:p>
        </w:tc>
      </w:tr>
    </w:tbl>
    <w:p>
      <w:pPr>
        <w:pStyle w:val="Heading3"/>
      </w:pPr>
      <w:r>
        <w:t>Unterschriften / Beurkundung</w:t>
      </w:r>
    </w:p>
    <w:p>
      <w:r>
        <w:t>Der Vertrag wurde am 8. Maerz 2021 vor Notarin Dr. Karin Sonneborn, Vaihinger Strasse 18, 70567 Stuttgart, unter UR-Nr. NS-MA-2021/021 notariell beurkundet (Auszug; Originale verwahrt im Notariat).</w:t>
      </w:r>
    </w:p>
    <w:p>
      <w:r>
        <w:t>Ort, Datum: Stuttgart, den 8. Maerz 2021</w:t>
      </w:r>
    </w:p>
    <w:p>
      <w:r>
        <w:t>_________________________            _________________________</w:t>
        <w:br/>
        <w:t>Anna Mueller                          Veraeusserer-Sprecher</w:t>
        <w:br/>
        <w:t>Vorstandsvorsitzende, RHO i. V.                          Verkaeufer / JV-Partner</w:t>
        <w:br/>
        <w:t>Brennhagen Elektronik AG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