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Umweltbericht RCN Shanghai 2023</w:t>
      </w:r>
    </w:p>
    <w:p>
      <w:pPr>
        <w:jc w:val="center"/>
      </w:pPr>
      <w:r>
        <w:t>Brennhagen (Shanghai) Co. Ltd. – Annual Environmental Report 2023 (gem. lokalen Vorschriften + Konzern-ESG)</w:t>
      </w:r>
    </w:p>
    <w:p/>
    <w:p>
      <w:pPr>
        <w:pStyle w:val="Heading3"/>
      </w:pPr>
      <w:r>
        <w:t>Berichtsgegenstand</w:t>
      </w:r>
    </w:p>
    <w:p>
      <w:r>
        <w:t>Dieser Umweltbericht erfasst die Umweltkennzahlen der Brennhagen (Shanghai) Co. Ltd. (RCN) fuer das Geschaeftsjahr 2023. RCN ist die Vertriebsgesellschaft des Brennhagen-Konzerns in China (Sitz: Pudong, Shanghai; ~320 MA). Es werden Energieverbrauch, Wasser, Abfall und Mobilitaet berichtet. Der Bericht erfuellt die Anforderungen der chinesischen Umweltbehoerde (MEE) sowie der Konzern-CSRD-Datensammlung (ab GJ 2024 berichtspflichtig).</w:t>
      </w:r>
    </w:p>
    <w:p>
      <w:pPr>
        <w:pStyle w:val="Heading3"/>
      </w:pPr>
      <w:r>
        <w:t>Kennzahlen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Kategorie</w:t>
            </w:r>
          </w:p>
        </w:tc>
        <w:tc>
          <w:tcPr>
            <w:tcW w:type="dxa" w:w="1728"/>
          </w:tcPr>
          <w:p>
            <w:r>
              <w:t>Einheit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Veraenderung</w:t>
            </w:r>
          </w:p>
        </w:tc>
      </w:tr>
      <w:tr>
        <w:tc>
          <w:tcPr>
            <w:tcW w:type="dxa" w:w="1728"/>
          </w:tcPr>
          <w:p>
            <w:r>
              <w:t>Stromverbrauch</w:t>
            </w:r>
          </w:p>
        </w:tc>
        <w:tc>
          <w:tcPr>
            <w:tcW w:type="dxa" w:w="1728"/>
          </w:tcPr>
          <w:p>
            <w:r>
              <w:t>MWh</w:t>
            </w:r>
          </w:p>
        </w:tc>
        <w:tc>
          <w:tcPr>
            <w:tcW w:type="dxa" w:w="1728"/>
          </w:tcPr>
          <w:p>
            <w:r>
              <w:t>2.140</w:t>
            </w:r>
          </w:p>
        </w:tc>
        <w:tc>
          <w:tcPr>
            <w:tcW w:type="dxa" w:w="1728"/>
          </w:tcPr>
          <w:p>
            <w:r>
              <w:t>2.080</w:t>
            </w:r>
          </w:p>
        </w:tc>
        <w:tc>
          <w:tcPr>
            <w:tcW w:type="dxa" w:w="1728"/>
          </w:tcPr>
          <w:p>
            <w:r>
              <w:t>-2,8 %</w:t>
            </w:r>
          </w:p>
        </w:tc>
      </w:tr>
      <w:tr>
        <w:tc>
          <w:tcPr>
            <w:tcW w:type="dxa" w:w="1728"/>
          </w:tcPr>
          <w:p>
            <w:r>
              <w:t>Davon erneuerbar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32 %</w:t>
            </w:r>
          </w:p>
        </w:tc>
        <w:tc>
          <w:tcPr>
            <w:tcW w:type="dxa" w:w="1728"/>
          </w:tcPr>
          <w:p>
            <w:r>
              <w:t>48 %</w:t>
            </w:r>
          </w:p>
        </w:tc>
        <w:tc>
          <w:tcPr>
            <w:tcW w:type="dxa" w:w="1728"/>
          </w:tcPr>
          <w:p>
            <w:r>
              <w:t>+16 ppt</w:t>
            </w:r>
          </w:p>
        </w:tc>
      </w:tr>
      <w:tr>
        <w:tc>
          <w:tcPr>
            <w:tcW w:type="dxa" w:w="1728"/>
          </w:tcPr>
          <w:p>
            <w:r>
              <w:t>Erdgas</w:t>
            </w:r>
          </w:p>
        </w:tc>
        <w:tc>
          <w:tcPr>
            <w:tcW w:type="dxa" w:w="1728"/>
          </w:tcPr>
          <w:p>
            <w:r>
              <w:t>MWh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-17,6 %</w:t>
            </w:r>
          </w:p>
        </w:tc>
      </w:tr>
      <w:tr>
        <w:tc>
          <w:tcPr>
            <w:tcW w:type="dxa" w:w="1728"/>
          </w:tcPr>
          <w:p>
            <w:r>
              <w:t>Wasser</w:t>
            </w:r>
          </w:p>
        </w:tc>
        <w:tc>
          <w:tcPr>
            <w:tcW w:type="dxa" w:w="1728"/>
          </w:tcPr>
          <w:p>
            <w:r>
              <w:t>m³</w:t>
            </w:r>
          </w:p>
        </w:tc>
        <w:tc>
          <w:tcPr>
            <w:tcW w:type="dxa" w:w="1728"/>
          </w:tcPr>
          <w:p>
            <w:r>
              <w:t>5.420</w:t>
            </w:r>
          </w:p>
        </w:tc>
        <w:tc>
          <w:tcPr>
            <w:tcW w:type="dxa" w:w="1728"/>
          </w:tcPr>
          <w:p>
            <w:r>
              <w:t>5.180</w:t>
            </w:r>
          </w:p>
        </w:tc>
        <w:tc>
          <w:tcPr>
            <w:tcW w:type="dxa" w:w="1728"/>
          </w:tcPr>
          <w:p>
            <w:r>
              <w:t>-4,4 %</w:t>
            </w:r>
          </w:p>
        </w:tc>
      </w:tr>
      <w:tr>
        <w:tc>
          <w:tcPr>
            <w:tcW w:type="dxa" w:w="1728"/>
          </w:tcPr>
          <w:p>
            <w:r>
              <w:t>Abfall gesamt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-4,9 %</w:t>
            </w:r>
          </w:p>
        </w:tc>
      </w:tr>
      <w:tr>
        <w:tc>
          <w:tcPr>
            <w:tcW w:type="dxa" w:w="1728"/>
          </w:tcPr>
          <w:p>
            <w:r>
              <w:t>Recyclingquote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+6 ppt</w:t>
            </w:r>
          </w:p>
        </w:tc>
      </w:tr>
      <w:tr>
        <w:tc>
          <w:tcPr>
            <w:tcW w:type="dxa" w:w="1728"/>
          </w:tcPr>
          <w:p>
            <w:r>
              <w:t>CO2-Emissionen Scope 1</w:t>
            </w:r>
          </w:p>
        </w:tc>
        <w:tc>
          <w:tcPr>
            <w:tcW w:type="dxa" w:w="1728"/>
          </w:tcPr>
          <w:p>
            <w:r>
              <w:t>t CO2e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-16,7 %</w:t>
            </w:r>
          </w:p>
        </w:tc>
      </w:tr>
      <w:tr>
        <w:tc>
          <w:tcPr>
            <w:tcW w:type="dxa" w:w="1728"/>
          </w:tcPr>
          <w:p>
            <w:r>
              <w:t>CO2-Emissionen Scope 2 (Location)</w:t>
            </w:r>
          </w:p>
        </w:tc>
        <w:tc>
          <w:tcPr>
            <w:tcW w:type="dxa" w:w="1728"/>
          </w:tcPr>
          <w:p>
            <w:r>
              <w:t>t CO2e</w:t>
            </w:r>
          </w:p>
        </w:tc>
        <w:tc>
          <w:tcPr>
            <w:tcW w:type="dxa" w:w="1728"/>
          </w:tcPr>
          <w:p>
            <w:r>
              <w:t>1.450</w:t>
            </w:r>
          </w:p>
        </w:tc>
        <w:tc>
          <w:tcPr>
            <w:tcW w:type="dxa" w:w="1728"/>
          </w:tcPr>
          <w:p>
            <w:r>
              <w:t>1.380</w:t>
            </w:r>
          </w:p>
        </w:tc>
        <w:tc>
          <w:tcPr>
            <w:tcW w:type="dxa" w:w="1728"/>
          </w:tcPr>
          <w:p>
            <w:r>
              <w:t>-4,8 %</w:t>
            </w:r>
          </w:p>
        </w:tc>
      </w:tr>
    </w:tbl>
    <w:p>
      <w:pPr>
        <w:pStyle w:val="Heading3"/>
      </w:pPr>
      <w:r>
        <w:t>Massnahmen 2023</w:t>
      </w:r>
    </w:p>
    <w:p>
      <w:pPr>
        <w:pStyle w:val="ListBullet"/>
      </w:pPr>
      <w:r>
        <w:t>Stromtarif-Umstellung auf Green Tariff in Pudong (+16 ppt erneuerbar).</w:t>
      </w:r>
    </w:p>
    <w:p>
      <w:pPr>
        <w:pStyle w:val="ListBullet"/>
      </w:pPr>
      <w:r>
        <w:t>LED-Beleuchtung im Bueroflaechen-Retrofit (Ersparnis ca. 120 MWh/Jahr).</w:t>
      </w:r>
    </w:p>
    <w:p>
      <w:pPr>
        <w:pStyle w:val="ListBullet"/>
      </w:pPr>
      <w:r>
        <w:t>Hybrid-Dienstwagenflotte – 12 von 24 PKW elektrifiziert.</w:t>
      </w:r>
    </w:p>
    <w:p>
      <w:pPr>
        <w:pStyle w:val="ListBullet"/>
      </w:pPr>
      <w:r>
        <w:t>Recycling-Programm fuer Verpackungsmaterialien (Karton, Holz).</w:t>
      </w:r>
    </w:p>
    <w:p>
      <w:pPr>
        <w:pStyle w:val="ListBullet"/>
      </w:pPr>
      <w:r>
        <w:t>Mitarbeiter-Schulung Umweltschutz (jaehrlich, 95 % Teilnehmerquote).</w:t>
      </w:r>
    </w:p>
    <w:p>
      <w:pPr>
        <w:pStyle w:val="Heading3"/>
      </w:pPr>
      <w:r>
        <w:t>Ausblick 2024</w:t>
      </w:r>
    </w:p>
    <w:p>
      <w:pPr>
        <w:pStyle w:val="ListBullet"/>
      </w:pPr>
      <w:r>
        <w:t>Ziel Strombezug 60 % erneuerbar.</w:t>
      </w:r>
    </w:p>
    <w:p>
      <w:pPr>
        <w:pStyle w:val="ListBullet"/>
      </w:pPr>
      <w:r>
        <w:t>Reduktion Scope-2-Emissionen um -8 %.</w:t>
      </w:r>
    </w:p>
    <w:p>
      <w:pPr>
        <w:pStyle w:val="ListBullet"/>
      </w:pPr>
      <w:r>
        <w:t>Mobilitaetsbudget statt Dienstwagen pruefen.</w:t>
      </w:r>
    </w:p>
    <w:p>
      <w:pPr>
        <w:pStyle w:val="ListBullet"/>
      </w:pPr>
      <w:r>
        <w:t>Integration in Konzern-CSRD-Reporting.</w:t>
      </w:r>
    </w:p>
    <w:p>
      <w:pPr>
        <w:pStyle w:val="Heading3"/>
      </w:pPr>
      <w:r>
        <w:t>Freigabe</w:t>
      </w:r>
    </w:p>
    <w:p>
      <w:r>
        <w:t>Ort, Datum: Shanghai, den 14. Februar 2024</w:t>
      </w:r>
    </w:p>
    <w:p>
      <w:r>
        <w:t>_________________________            _________________________</w:t>
        <w:br/>
        <w:t>Zhang Hao                          Liang Wei</w:t>
        <w:br/>
        <w:t>Country Manager                          Finance Manager / ESG-Lead RCN</w:t>
        <w:br/>
        <w:t>Brennhagen (Shanghai) Co. Ltd.                       Brennhagen (Shanghai) Co. Ltd.</w:t>
      </w:r>
    </w:p>
    <w:p>
      <w:pPr>
        <w:pStyle w:val="Heading3"/>
      </w:pPr>
      <w:r>
        <w:t>Versionierung und Verteiler</w:t>
      </w:r>
    </w:p>
    <w:p>
      <w:r>
        <w:t>Version 1.0 / Stand 14. Februar 2024. Verteiler: Vorstand der Brennhagen Elektronik AG, Aufsichtsrats-Vorsitz (Dr. Klaus Steinbrueck), Pruefungsausschuss-Vorsitz (Prof. Dr.-Ing. Gerhard Voss), Group Compliance Office, Schriftfuehrerin Dr. Veronika Steiner.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