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 Meeting #20 / 2023</w:t>
      </w:r>
    </w:p>
    <w:p>
      <w:pPr>
        <w:jc w:val="center"/>
      </w:pPr>
      <w:r>
        <w:t>Erweitertes Management-Meeting Konzern – Protokoll</w:t>
      </w:r>
    </w:p>
    <w:p/>
    <w:p>
      <w:pPr>
        <w:pStyle w:val="Heading3"/>
      </w:pPr>
      <w:r>
        <w:t>Sitzungsdaten</w:t>
      </w:r>
    </w:p>
    <w:p>
      <w:r>
        <w:t>Datum: 18. Oktober 2023, 9:00–16:30 Uhr. Ort: Vaihinger Strasse 120, 70567 Stuttgart, Raum »Bodensee« (4. OG). Teilnehmer: Vorstand komplett (Mueller, Bauer, Weber, Hoffmann, Richter), erweiterte Management-Runde (Werkleitungen REG, RSG, RPL, RCZ, RHU, Country Manager RCN, Group Treasurer Pflanzer, Group Controller Maier, CAE Buehler, Group HR Director). Schriftfuehrerin: Dr. Veronika Steiner.</w:t>
      </w:r>
    </w:p>
    <w:p>
      <w:pPr>
        <w:pStyle w:val="Heading3"/>
      </w:pPr>
      <w:r>
        <w:t>Themen</w:t>
      </w:r>
    </w:p>
    <w:p>
      <w:pPr>
        <w:pStyle w:val="ListBullet"/>
      </w:pPr>
      <w:r>
        <w:t>Strategie NEXT 2026 – Update Q3 (CEO).</w:t>
      </w:r>
    </w:p>
    <w:p>
      <w:pPr>
        <w:pStyle w:val="ListBullet"/>
      </w:pPr>
      <w:r>
        <w:t>Operative Lage Werke – OEE / Personal / Qualitaet (Werkleiter Runde).</w:t>
      </w:r>
    </w:p>
    <w:p>
      <w:pPr>
        <w:pStyle w:val="ListBullet"/>
      </w:pPr>
      <w:r>
        <w:t>Halbjahres-Forecast und Mittelfristplanung 2024–2028 (CFO).</w:t>
      </w:r>
    </w:p>
    <w:p>
      <w:pPr>
        <w:pStyle w:val="ListBullet"/>
      </w:pPr>
      <w:r>
        <w:t>Technologie-Roadmap – BMS-12.2, ADAS-V4D Gen2, BrennhagenOS (CTO).</w:t>
      </w:r>
    </w:p>
    <w:p>
      <w:pPr>
        <w:pStyle w:val="ListBullet"/>
      </w:pPr>
      <w:r>
        <w:t>OEM-Pipeline und Account-Status (CMO/BD).</w:t>
      </w:r>
    </w:p>
    <w:p>
      <w:pPr>
        <w:pStyle w:val="ListBullet"/>
      </w:pPr>
      <w:r>
        <w:t>Compliance / Cybersecurity / CSRD-Vorbereitung (Group Compliance).</w:t>
      </w:r>
    </w:p>
    <w:p>
      <w:pPr>
        <w:pStyle w:val="ListBullet"/>
      </w:pPr>
      <w:r>
        <w:t>M&amp;A-Pipeline (CEO + Goldman Sachs Update).</w:t>
      </w:r>
    </w:p>
    <w:p>
      <w:pPr>
        <w:pStyle w:val="Heading3"/>
      </w:pPr>
      <w:r>
        <w:t>Wesentliche Beschluesse / Action Items</w:t>
      </w:r>
    </w:p>
    <w:p>
      <w:pPr>
        <w:pStyle w:val="ListBullet"/>
      </w:pPr>
      <w:r>
        <w:t>AI #2023-20-01: BMS-12.2-Hochlauf-Plan bis Q1/2024 finalisieren (verantwortlich COO).</w:t>
      </w:r>
    </w:p>
    <w:p>
      <w:pPr>
        <w:pStyle w:val="ListBullet"/>
      </w:pPr>
      <w:r>
        <w:t>AI #2023-20-02: CSRD-Datenmodell bis Q4/2023 implementieren (verantwortlich CFO).</w:t>
      </w:r>
    </w:p>
    <w:p>
      <w:pPr>
        <w:pStyle w:val="ListBullet"/>
      </w:pPr>
      <w:r>
        <w:t>AI #2023-20-03: RSG-Recruitment 60 FTE in 2024 starten (verantwortlich CTO / HR).</w:t>
      </w:r>
    </w:p>
    <w:p>
      <w:pPr>
        <w:pStyle w:val="ListBullet"/>
      </w:pPr>
      <w:r>
        <w:t>AI #2023-20-04: Capex-Antrag Linie 5/6 Heilbronn an Aufsichtsrat (verantwortlich CFO).</w:t>
      </w:r>
    </w:p>
    <w:p>
      <w:pPr>
        <w:pStyle w:val="Heading3"/>
      </w:pPr>
      <w:r>
        <w:t>Naechste Sitzung</w:t>
      </w:r>
    </w:p>
    <w:p>
      <w:r>
        <w:t>Naechstes erweitertes Management-Meeting: 17. Januar 2024, 9:00 Uhr, Stuttgart. Strategie-Klausur Vorstand + Werkleitungen: 22.–23. Februar 2024, Hotel Schloss Solitude.</w:t>
      </w:r>
    </w:p>
    <w:p>
      <w:pPr>
        <w:pStyle w:val="Heading3"/>
      </w:pPr>
      <w:r>
        <w:t>Versionierung und Verteiler</w:t>
      </w:r>
    </w:p>
    <w:p>
      <w:r>
        <w:t>Version 1.0 / Stand 18. Oktober 2023.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