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Stage-Gate G1: Konzept-Review ECU-1000</w:t>
      </w:r>
    </w:p>
    <w:p>
      <w:pPr>
        <w:jc w:val="center"/>
      </w:pPr>
      <w:r>
        <w:t>Projekt PRJ-2024-001 – Concept Study Powertrain-ECU der naechsten Generation (ECU-1000)</w:t>
      </w:r>
    </w:p>
    <w:p/>
    <w:p>
      <w:pPr>
        <w:pStyle w:val="Heading3"/>
      </w:pPr>
      <w:r>
        <w:t>Projekt-Kontext</w:t>
      </w:r>
    </w:p>
    <w:p>
      <w:r>
        <w:t>Das Projekt PRJ-2024-001 fuehrt die Konzeptstudie fuer die naechste Generation der Powertrain-ECU (Arbeitstitel »ECU-1000«) durch. Ziel: Nachfolger der ECU-900 ab SOP Q4/2026, Skalierung auf MEB+/STLA-Plattformen, ASPICE-Level-3-konform. Lead Engineer: Lars Wittmann (RSG). Sponsor: CTO Stefan Hoffmann.</w:t>
      </w:r>
    </w:p>
    <w:p>
      <w:pPr>
        <w:pStyle w:val="Heading3"/>
      </w:pPr>
      <w:r>
        <w:t>Gate-G1-Pruefung</w:t>
      </w:r>
    </w:p>
    <w:p>
      <w:pPr>
        <w:pStyle w:val="ListBullet"/>
      </w:pPr>
      <w:r>
        <w:t>Anforderungsklaerung mit OEM (VW, Stellantis): erfuellt.</w:t>
      </w:r>
    </w:p>
    <w:p>
      <w:pPr>
        <w:pStyle w:val="ListBullet"/>
      </w:pPr>
      <w:r>
        <w:t>Marktanalyse / Volumenprognose: erfuellt (TAM 1,8 Mrd. EUR 2027–2030).</w:t>
      </w:r>
    </w:p>
    <w:p>
      <w:pPr>
        <w:pStyle w:val="ListBullet"/>
      </w:pPr>
      <w:r>
        <w:t>Technische Machbarkeit Microcontroller-Auswahl (NXP S32G3 / Infineon AURIX TC4xx): erfuellt.</w:t>
      </w:r>
    </w:p>
    <w:p>
      <w:pPr>
        <w:pStyle w:val="ListBullet"/>
      </w:pPr>
      <w:r>
        <w:t>Patentlandkarte und Freedom-to-Operate-Pruefung: laufend (Abschluss Q2/2024).</w:t>
      </w:r>
    </w:p>
    <w:p>
      <w:pPr>
        <w:pStyle w:val="ListBullet"/>
      </w:pPr>
      <w:r>
        <w:t>Capex-Schaetzung (Pilot + Linie): 22 Mio. EUR ueber 30 Monate.</w:t>
      </w:r>
    </w:p>
    <w:p>
      <w:pPr>
        <w:pStyle w:val="ListBullet"/>
      </w:pPr>
      <w:r>
        <w:t>Business-Case IRR: 16,8 % (ueber Hurdle 11,4 %).</w:t>
      </w:r>
    </w:p>
    <w:p>
      <w:pPr>
        <w:pStyle w:val="Heading3"/>
      </w:pPr>
      <w:r>
        <w:t>Beschluss Gate G1</w:t>
      </w:r>
    </w:p>
    <w:p>
      <w:r>
        <w:t>Das Gate G1 wird unter Auflagen freigegeben. Auflagen: (a) Abschluss Patent-Pruefung Q2/2024; (b) OEM-LOI von mindestens 2 Lead-Customers (VW + Stellantis) bis Gate G2; (c) Detail-Capex-Antrag mit Lieferanten-Quotes bis Gate G2 (Q3/2024). Entscheider: Vorstand komplett (CEO/CFO/COO/CTO).</w:t>
      </w:r>
    </w:p>
    <w:p>
      <w:pPr>
        <w:pStyle w:val="Heading3"/>
      </w:pPr>
      <w:r>
        <w:t>Naechste Schritte (G2-Vorbereitung)</w:t>
      </w:r>
    </w:p>
    <w:p>
      <w:pPr>
        <w:pStyle w:val="ListBullet"/>
      </w:pPr>
      <w:r>
        <w:t>Detail-Architektur-Spec mit ASPICE Level 3 in RSG.</w:t>
      </w:r>
    </w:p>
    <w:p>
      <w:pPr>
        <w:pStyle w:val="ListBullet"/>
      </w:pPr>
      <w:r>
        <w:t>Lieferanten-Sondierung MCU / Power-Devices.</w:t>
      </w:r>
    </w:p>
    <w:p>
      <w:pPr>
        <w:pStyle w:val="ListBullet"/>
      </w:pPr>
      <w:r>
        <w:t>OEM-Lead-Customer-Workshops VW (Wolfsburg), Stellantis (Trnava).</w:t>
      </w:r>
    </w:p>
    <w:p>
      <w:pPr>
        <w:pStyle w:val="ListBullet"/>
      </w:pPr>
      <w:r>
        <w:t>Gate G2 Termin: 15. November 2024.</w:t>
      </w:r>
    </w:p>
    <w:p>
      <w:pPr>
        <w:pStyle w:val="Heading3"/>
      </w:pPr>
      <w:r>
        <w:t>Freigabe</w:t>
      </w:r>
    </w:p>
    <w:p>
      <w:r>
        <w:t>Ort, Datum: Muenchen, den 14. Maerz 2024</w:t>
      </w:r>
    </w:p>
    <w:p>
      <w:r>
        <w:t>_________________________            _________________________</w:t>
        <w:br/>
        <w:t>Lars Wittmann                          Stefan Hoffmann</w:t>
        <w:br/>
        <w:t>Lead Engineer RSG                          CTO / Sponsor</w:t>
        <w:br/>
        <w:t>Brennhagen Software GmbH                       Brennhagen Elektronik AG</w:t>
      </w:r>
    </w:p>
    <w:p>
      <w:pPr>
        <w:pStyle w:val="Heading3"/>
      </w:pPr>
      <w:r>
        <w:t>Versionierung und Verteiler</w:t>
      </w:r>
    </w:p>
    <w:p>
      <w:r>
        <w:t>Version 1.0 / Stand 14. Maerz 2024. Verteiler: Vorstand der Brennhagen Elektronik AG, Aufsichtsrats-Vorsitz (Dr. Klaus Steinbrueck), Pruefungsausschuss-Vorsitz (Prof. Dr.-Ing. Gerhard Voss), Group Compliance Office, Schriftfuehrerin Dr. Veronika Steiner.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