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ADAS-Marktanalyse 2024 (Europa / China)</w:t>
      </w:r>
    </w:p>
    <w:p>
      <w:pPr>
        <w:jc w:val="center"/>
      </w:pPr>
      <w:r>
        <w:t>Strategie-/Marktanalyse – ADAS Level 2-3 – Vorstandsvorlage CTO/CMO 2024</w:t>
      </w:r>
    </w:p>
    <w:p/>
    <w:p>
      <w:pPr>
        <w:pStyle w:val="Heading3"/>
      </w:pPr>
      <w:r>
        <w:t>Anlass und Methodik</w:t>
      </w:r>
    </w:p>
    <w:p>
      <w:r>
        <w:t>Die ADAS-Markt-Volumen entwickeln sich auf Europa-Ebene mit ca. 12 % CAGR (2023–2030). In China steigt das ADAS-Volumen schneller (ca. 18 % CAGR) aufgrund regulatorischer Anreize und neuer OEM-Plattformen (Huawei HarmonyOS Cockpit, NIO Banyan). Brennhagen fokussiert das Premium-Segment Europa (Mercedes-Benz, BMW, Audi) sowie ausgewaehlte Mass-Market-Plattformen (Stellantis STLA, Ford). Das Memo dient als Grundlage fuer die ADAS-V4D-Plattform-Roadmap.</w:t>
      </w:r>
    </w:p>
    <w:p>
      <w:r>
        <w:t>Methodisch wird ein Szenario-Ansatz mit drei Pfaden gewaehlt (Base / Upside / Downside) auf Basis der Quellen S&amp;P Global Mobility, IHS Markit, VDA Bilanzpressekonferenz 2023, McKinsey Automotive Outlook 2023 sowie eigener Auswertungen der OEM-Forecasts. Die Aggregation erfolgt durch das Strategieteam (Strategy &amp; Corporate Development) unter Begleitung von Roland Berger.</w:t>
      </w:r>
    </w:p>
    <w:p>
      <w:pPr>
        <w:pStyle w:val="Heading3"/>
      </w:pPr>
      <w:r>
        <w:t>Marktdaten / Volumina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Region</w:t>
            </w:r>
          </w:p>
        </w:tc>
        <w:tc>
          <w:tcPr>
            <w:tcW w:type="dxa" w:w="1728"/>
          </w:tcPr>
          <w:p>
            <w:r>
              <w:t>2023 Volumen Mio. Stk.</w:t>
            </w:r>
          </w:p>
        </w:tc>
        <w:tc>
          <w:tcPr>
            <w:tcW w:type="dxa" w:w="1728"/>
          </w:tcPr>
          <w:p>
            <w:r>
              <w:t>2026 Base</w:t>
            </w:r>
          </w:p>
        </w:tc>
        <w:tc>
          <w:tcPr>
            <w:tcW w:type="dxa" w:w="1728"/>
          </w:tcPr>
          <w:p>
            <w:r>
              <w:t>2028 Base</w:t>
            </w:r>
          </w:p>
        </w:tc>
        <w:tc>
          <w:tcPr>
            <w:tcW w:type="dxa" w:w="1728"/>
          </w:tcPr>
          <w:p>
            <w:r>
              <w:t>CAGR %</w:t>
            </w:r>
          </w:p>
        </w:tc>
      </w:tr>
      <w:tr>
        <w:tc>
          <w:tcPr>
            <w:tcW w:type="dxa" w:w="1728"/>
          </w:tcPr>
          <w:p>
            <w:r>
              <w:t>Europa</w:t>
            </w:r>
          </w:p>
        </w:tc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12,1</w:t>
            </w:r>
          </w:p>
        </w:tc>
      </w:tr>
      <w:tr>
        <w:tc>
          <w:tcPr>
            <w:tcW w:type="dxa" w:w="1728"/>
          </w:tcPr>
          <w:p>
            <w:r>
              <w:t>China</w:t>
            </w:r>
          </w:p>
        </w:tc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58</w:t>
            </w:r>
          </w:p>
        </w:tc>
        <w:tc>
          <w:tcPr>
            <w:tcW w:type="dxa" w:w="1728"/>
          </w:tcPr>
          <w:p>
            <w:r>
              <w:t>78</w:t>
            </w:r>
          </w:p>
        </w:tc>
        <w:tc>
          <w:tcPr>
            <w:tcW w:type="dxa" w:w="1728"/>
          </w:tcPr>
          <w:p>
            <w:r>
              <w:t>18,4</w:t>
            </w:r>
          </w:p>
        </w:tc>
      </w:tr>
      <w:tr>
        <w:tc>
          <w:tcPr>
            <w:tcW w:type="dxa" w:w="1728"/>
          </w:tcPr>
          <w:p>
            <w:r>
              <w:t>Nordamerika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10,1</w:t>
            </w:r>
          </w:p>
        </w:tc>
      </w:tr>
      <w:tr>
        <w:tc>
          <w:tcPr>
            <w:tcW w:type="dxa" w:w="1728"/>
          </w:tcPr>
          <w:p>
            <w:r>
              <w:t>Rest of World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9,2</w:t>
            </w:r>
          </w:p>
        </w:tc>
      </w:tr>
    </w:tbl>
    <w:p>
      <w:pPr>
        <w:pStyle w:val="Heading3"/>
      </w:pPr>
      <w:r>
        <w:t>Szenario-Beschreibung</w:t>
      </w:r>
    </w:p>
    <w:p>
      <w:pPr>
        <w:pStyle w:val="ListBullet"/>
      </w:pPr>
      <w:r>
        <w:t>Base: ADAS L2 weiter Hauptvolumen, ADAS L3 in Premium ab 2026; ADAS-V4D-Umsatz 2026: 180 Mio. EUR.</w:t>
      </w:r>
    </w:p>
    <w:p>
      <w:pPr>
        <w:pStyle w:val="ListBullet"/>
      </w:pPr>
      <w:r>
        <w:t>Upside: schneller L3-Rollout BMW/Mercedes; ADAS-V4D-Umsatz 2026: 235 Mio. EUR.</w:t>
      </w:r>
    </w:p>
    <w:p>
      <w:pPr>
        <w:pStyle w:val="ListBullet"/>
      </w:pPr>
      <w:r>
        <w:t>Downside: Regulatory Lag (UNECE R157), L3-Verschiebung; ADAS-V4D-Umsatz 2026: 140 Mio. EUR.</w:t>
      </w:r>
    </w:p>
    <w:p>
      <w:pPr>
        <w:pStyle w:val="Heading3"/>
      </w:pPr>
      <w:r>
        <w:t>Implikationen fuer Brennhagen</w:t>
      </w:r>
    </w:p>
    <w:p>
      <w:r>
        <w:t>Brennhagen sollte den Lead-Customer-Approach Mercedes-Benz und BMW intensiveren und die Patent-Roadmap im Bereich Sensor-Fusion ausbauen. Die ADAS-V4D-Plattform wird in zwei Generationen entwickelt (V4D Gen-1 SOP 2024, Gen-2 SOP 2026). Die China-Adressierung erfolgt selektiv ueber RCN Shanghai und potenzielle Tier-1-Partner (Joyson, Huawei DRIVE).</w:t>
      </w:r>
    </w:p>
    <w:p>
      <w:pPr>
        <w:pStyle w:val="Heading3"/>
      </w:pPr>
      <w:r>
        <w:t>Empfohlene strategische Antworten</w:t>
      </w:r>
    </w:p>
    <w:p>
      <w:pPr>
        <w:pStyle w:val="ListBullet"/>
      </w:pPr>
      <w:r>
        <w:t>Capex-Planung an Base-Case ausrichten, Trigger fuer Upside-Anpassung definieren.</w:t>
      </w:r>
    </w:p>
    <w:p>
      <w:pPr>
        <w:pStyle w:val="ListBullet"/>
      </w:pPr>
      <w:r>
        <w:t>Lieferanten-Diversifizierung (Halbleiter) konsequent fortsetzen (siehe Memo Lieferantendiversifizierung).</w:t>
      </w:r>
    </w:p>
    <w:p>
      <w:pPr>
        <w:pStyle w:val="ListBullet"/>
      </w:pPr>
      <w:r>
        <w:t>OEM-Forecast-Hygiene mit BMW, Mercedes-Benz, VW, Stellantis quartalsweise abgleichen.</w:t>
      </w:r>
    </w:p>
    <w:p>
      <w:pPr>
        <w:pStyle w:val="ListBullet"/>
      </w:pPr>
      <w:r>
        <w:t>China-Strategie (RCN Shanghai) angepasst an lokales BEV-Wachstumstempo.</w:t>
      </w:r>
    </w:p>
    <w:p>
      <w:pPr>
        <w:pStyle w:val="ListBullet"/>
      </w:pPr>
      <w:r>
        <w:t>Stressszenario in MFP einarbeiten und an Aufsichtsrat Pruefungsausschuss reporten.</w:t>
      </w:r>
    </w:p>
    <w:p>
      <w:pPr>
        <w:pStyle w:val="Heading3"/>
      </w:pPr>
      <w:r>
        <w:t>Versionierung</w:t>
      </w:r>
    </w:p>
    <w:p>
      <w:r>
        <w:t>Version 1.0 / Stand 15. September 2023. Naechste Revision: 31. Maerz 2024. Verteiler: Vorstand, Strategieausschuss, Aufsichtsrat (Pruefungsausschuss).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