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Capital Allocation Framework 2023</w:t>
      </w:r>
    </w:p>
    <w:p>
      <w:pPr>
        <w:jc w:val="center"/>
      </w:pPr>
      <w:r>
        <w:t>Konzern-Capital-Allocation-Richtlinie – Vorlage Aufsichtsrat / Pruefungsausschuss</w:t>
      </w:r>
    </w:p>
    <w:p/>
    <w:p>
      <w:pPr>
        <w:pStyle w:val="Heading3"/>
      </w:pPr>
      <w:r>
        <w:t>Zielsetzung und Anwendungsbereich</w:t>
      </w:r>
    </w:p>
    <w:p>
      <w:r>
        <w:t>Das Capital Allocation Framework (CAF) der Brennhagen Elektronik AG definiert verbindliche Grundsaetze fuer die Allokation des Konzernkapitals auf Capex, M&amp;A, Dividende und Schuldentilgung. Es gilt fuer alle Investitionsentscheidungen oberhalb von 1,0 Mio. EUR und ist verbindliche Vorlage in jedem Investitionsantrag. Verantwortlich: CFO Laura Bauer; operative Steuerung: Group Controlling (Florian Maier).</w:t>
      </w:r>
    </w:p>
    <w:p>
      <w:pPr>
        <w:pStyle w:val="Heading3"/>
      </w:pPr>
      <w:r>
        <w:t>Hierarchie der Mittelverwendung</w:t>
      </w:r>
    </w:p>
    <w:p>
      <w:pPr>
        <w:pStyle w:val="ListBullet"/>
      </w:pPr>
      <w:r>
        <w:t>Stufe 1 – Maintenance Capex (Erhalt operativer Faehigkeiten, Compliance, Sicherheit). Pflichtinvestitionen.</w:t>
      </w:r>
    </w:p>
    <w:p>
      <w:pPr>
        <w:pStyle w:val="ListBullet"/>
      </w:pPr>
      <w:r>
        <w:t>Stufe 2 – Growth Capex (BMS-12-Hochlauf, ADAS-V4D, BrennhagenOS, neue Werks-Linien).</w:t>
      </w:r>
    </w:p>
    <w:p>
      <w:pPr>
        <w:pStyle w:val="ListBullet"/>
      </w:pPr>
      <w:r>
        <w:t>Stufe 3 – Dividende (Payout-Range 35–45 % vom Konzernergebnis nach Steuern, Stabilitaet ueber Konjunkturzyklen).</w:t>
      </w:r>
    </w:p>
    <w:p>
      <w:pPr>
        <w:pStyle w:val="ListBullet"/>
      </w:pPr>
      <w:r>
        <w:t>Stufe 4 – M&amp;A / strategische Akquisitionen (Bolt-on, Tuck-in, transformativ).</w:t>
      </w:r>
    </w:p>
    <w:p>
      <w:pPr>
        <w:pStyle w:val="ListBullet"/>
      </w:pPr>
      <w:r>
        <w:t>Stufe 5 – Schuldentilgung / Buyback (Optimierung Net-Debt-Profil, ggf. Aktienrueckkaeufe nach AR-Beschluss und HV-Ermaechtigung).</w:t>
      </w:r>
    </w:p>
    <w:p>
      <w:pPr>
        <w:pStyle w:val="Heading3"/>
      </w:pPr>
      <w:r>
        <w:t>Hurdle Rates und Bewertungskriterien</w:t>
      </w:r>
    </w:p>
    <w:p>
      <w:pPr>
        <w:pStyle w:val="ListBullet"/>
      </w:pPr>
      <w:r>
        <w:t>WACC Konzern: 8,4 % (Stichtag 30.6.2023), Updates jaehrlich durch Treasury.</w:t>
      </w:r>
    </w:p>
    <w:p>
      <w:pPr>
        <w:pStyle w:val="ListBullet"/>
      </w:pPr>
      <w:r>
        <w:t>Hurdle Rate Maintenance Capex: WACC + 1 ppt.</w:t>
      </w:r>
    </w:p>
    <w:p>
      <w:pPr>
        <w:pStyle w:val="ListBullet"/>
      </w:pPr>
      <w:r>
        <w:t>Hurdle Rate Growth Capex: WACC + 3 ppt.</w:t>
      </w:r>
    </w:p>
    <w:p>
      <w:pPr>
        <w:pStyle w:val="ListBullet"/>
      </w:pPr>
      <w:r>
        <w:t>Hurdle Rate M&amp;A: WACC + 5 ppt (inkl. Synergy-Hurdle).</w:t>
      </w:r>
    </w:p>
    <w:p>
      <w:pPr>
        <w:pStyle w:val="ListBullet"/>
      </w:pPr>
      <w:r>
        <w:t>Payback-Period Growth Capex: &lt;= 5 Jahre, Maintenance &lt;= 7 Jahre.</w:t>
      </w:r>
    </w:p>
    <w:p>
      <w:pPr>
        <w:pStyle w:val="ListBullet"/>
      </w:pPr>
      <w:r>
        <w:t>Mindest-IRR M&amp;A: 15 % (post-Synergie, post-Integration).</w:t>
      </w:r>
    </w:p>
    <w:p>
      <w:pPr>
        <w:pStyle w:val="Heading3"/>
      </w:pPr>
      <w:r>
        <w:t>Governance und Freigaben</w:t>
      </w:r>
    </w:p>
    <w:p>
      <w:pPr>
        <w:pStyle w:val="ListBullet"/>
      </w:pPr>
      <w:r>
        <w:t>Investitionen &lt;1 Mio. EUR: Bereichsleiter / Werkleiter.</w:t>
      </w:r>
    </w:p>
    <w:p>
      <w:pPr>
        <w:pStyle w:val="ListBullet"/>
      </w:pPr>
      <w:r>
        <w:t>Investitionen 1–5 Mio. EUR: CFO + zustaendiger Vorstand.</w:t>
      </w:r>
    </w:p>
    <w:p>
      <w:pPr>
        <w:pStyle w:val="ListBullet"/>
      </w:pPr>
      <w:r>
        <w:t>Investitionen 5–25 Mio. EUR: Vorstand komplett.</w:t>
      </w:r>
    </w:p>
    <w:p>
      <w:pPr>
        <w:pStyle w:val="ListBullet"/>
      </w:pPr>
      <w:r>
        <w:t>Investitionen &gt;25 Mio. EUR oder M&amp;A: Aufsichtsrats-Zustimmung (Pruefungsausschuss).</w:t>
      </w:r>
    </w:p>
    <w:p>
      <w:pPr>
        <w:pStyle w:val="ListBullet"/>
      </w:pPr>
      <w:r>
        <w:t>Pflichtberichterstattung quartalsweise an Aufsichtsrat (Pruefungsausschuss).</w:t>
      </w:r>
    </w:p>
    <w:p>
      <w:pPr>
        <w:pStyle w:val="Heading3"/>
      </w:pPr>
      <w:r>
        <w:t>Reporting und Monitoring</w:t>
      </w:r>
    </w:p>
    <w:p>
      <w:r>
        <w:t>Quartalsweises Reporting der Capex-Pipeline (Pre-Approval, Approved, In Execution, Closed) an den Pruefungsausschuss. Jaehrliche Capital-Allocation-Pruefung im Strategie-Zyklus. Post-Investment-Reviews fuer alle Investitionen &gt;5 Mio. EUR nach 24 Monaten. Pruefung durch Internal Audit (CAE Andreas Buehler).</w:t>
      </w:r>
    </w:p>
    <w:p>
      <w:pPr>
        <w:pStyle w:val="Heading3"/>
      </w:pPr>
      <w:r>
        <w:t>Inkrafttreten</w:t>
      </w:r>
    </w:p>
    <w:p>
      <w:r>
        <w:t>Ort, Datum: Stuttgart, den 14. Maerz 2023</w:t>
      </w:r>
    </w:p>
    <w:p>
      <w:r>
        <w:t>_________________________            _________________________</w:t>
        <w:br/>
        <w:t>Laura Bauer                          Anna Mueller</w:t>
        <w:br/>
        <w:t>CFO                          CEO</w:t>
        <w:br/>
        <w:t>Brennhagen Elektronik AG                       Brennhagen Elektronik AG</w:t>
      </w:r>
    </w:p>
    <w:p>
      <w:pPr>
        <w:pStyle w:val="Heading3"/>
      </w:pPr>
      <w:r>
        <w:t>Versionierung und Verteiler</w:t>
      </w:r>
    </w:p>
    <w:p>
      <w:r>
        <w:t>Version 1.0 / Stand 14. Maerz 2023.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