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EV-Marktanalyse 2023 – BEV-Hochlauf Europa und China</w:t>
      </w:r>
    </w:p>
    <w:p>
      <w:pPr>
        <w:jc w:val="center"/>
      </w:pPr>
      <w:r>
        <w:t>Strategiepapier – BEV-Wachstumspfad – Vorlage CMO/CFO 2023</w:t>
      </w:r>
    </w:p>
    <w:p/>
    <w:p>
      <w:pPr>
        <w:pStyle w:val="Heading3"/>
      </w:pPr>
      <w:r>
        <w:t>Anlass und Methodik</w:t>
      </w:r>
    </w:p>
    <w:p>
      <w:r>
        <w:t>Die globale BEV-Penetration steigt 2023 auf ca. 18 % (vs. 13 % 2022). Europa fuehrt mit 26 % Plug-in-Anteil (BEV+PHEV), China mit 33 % NEV-Anteil. Foerderlandschaft in DE und FR wandelt sich (Kaufpraemie-Stopp DE 12/2023). Brennhagen adressiert den Markt ueber BMS-12 (Lead VW ID.7, Hyundai) und ECU-900 (Powertrain).</w:t>
      </w:r>
    </w:p>
    <w:p>
      <w:r>
        <w:t>Methodisch wird ein Szenario-Ansatz mit drei Pfaden gewaehlt (Base / Upside / Downside) auf Basis der Quellen S&amp;P Global Mobility, IHS Markit, VDA Bilanzpressekonferenz 2023, McKinsey Automotive Outlook 2023 sowie eigener Auswertungen der OEM-Forecasts. Die Aggregation erfolgt durch das Strategieteam (Strategy &amp; Corporate Development) unter Begleitung von Roland Berger.</w:t>
      </w:r>
    </w:p>
    <w:p>
      <w:pPr>
        <w:pStyle w:val="Heading3"/>
      </w:pPr>
      <w:r>
        <w:t>Marktdaten / Volumina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BEV-Anteil 2023</w:t>
            </w:r>
          </w:p>
        </w:tc>
        <w:tc>
          <w:tcPr>
            <w:tcW w:type="dxa" w:w="1728"/>
          </w:tcPr>
          <w:p>
            <w:r>
              <w:t>BEV-Anteil 2028 Base</w:t>
            </w:r>
          </w:p>
        </w:tc>
        <w:tc>
          <w:tcPr>
            <w:tcW w:type="dxa" w:w="1728"/>
          </w:tcPr>
          <w:p>
            <w:r>
              <w:t>Volumen 2028 Mio. Fahrz.</w:t>
            </w:r>
          </w:p>
        </w:tc>
        <w:tc>
          <w:tcPr>
            <w:tcW w:type="dxa" w:w="1728"/>
          </w:tcPr>
          <w:p>
            <w:r>
              <w:t>CAGR %</w:t>
            </w:r>
          </w:p>
        </w:tc>
      </w:tr>
      <w:tr>
        <w:tc>
          <w:tcPr>
            <w:tcW w:type="dxa" w:w="1728"/>
          </w:tcPr>
          <w:p>
            <w:r>
              <w:t>Europa</w:t>
            </w:r>
          </w:p>
        </w:tc>
        <w:tc>
          <w:tcPr>
            <w:tcW w:type="dxa" w:w="1728"/>
          </w:tcPr>
          <w:p>
            <w:r>
              <w:t>15 %</w:t>
            </w:r>
          </w:p>
        </w:tc>
        <w:tc>
          <w:tcPr>
            <w:tcW w:type="dxa" w:w="1728"/>
          </w:tcPr>
          <w:p>
            <w:r>
              <w:t>42 %</w:t>
            </w:r>
          </w:p>
        </w:tc>
        <w:tc>
          <w:tcPr>
            <w:tcW w:type="dxa" w:w="1728"/>
          </w:tcPr>
          <w:p>
            <w:r>
              <w:t>8,4</w:t>
            </w:r>
          </w:p>
        </w:tc>
        <w:tc>
          <w:tcPr>
            <w:tcW w:type="dxa" w:w="1728"/>
          </w:tcPr>
          <w:p>
            <w:r>
              <w:t>22</w:t>
            </w:r>
          </w:p>
        </w:tc>
      </w:tr>
      <w:tr>
        <w:tc>
          <w:tcPr>
            <w:tcW w:type="dxa" w:w="1728"/>
          </w:tcPr>
          <w:p>
            <w:r>
              <w:t>China</w:t>
            </w:r>
          </w:p>
        </w:tc>
        <w:tc>
          <w:tcPr>
            <w:tcW w:type="dxa" w:w="1728"/>
          </w:tcPr>
          <w:p>
            <w:r>
              <w:t>24 %</w:t>
            </w:r>
          </w:p>
        </w:tc>
        <w:tc>
          <w:tcPr>
            <w:tcW w:type="dxa" w:w="1728"/>
          </w:tcPr>
          <w:p>
            <w:r>
              <w:t>55 %</w:t>
            </w:r>
          </w:p>
        </w:tc>
        <w:tc>
          <w:tcPr>
            <w:tcW w:type="dxa" w:w="1728"/>
          </w:tcPr>
          <w:p>
            <w:r>
              <w:t>16,2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Nordamerika</w:t>
            </w:r>
          </w:p>
        </w:tc>
        <w:tc>
          <w:tcPr>
            <w:tcW w:type="dxa" w:w="1728"/>
          </w:tcPr>
          <w:p>
            <w:r>
              <w:t>8 %</w:t>
            </w:r>
          </w:p>
        </w:tc>
        <w:tc>
          <w:tcPr>
            <w:tcW w:type="dxa" w:w="1728"/>
          </w:tcPr>
          <w:p>
            <w:r>
              <w:t>28 %</w:t>
            </w:r>
          </w:p>
        </w:tc>
        <w:tc>
          <w:tcPr>
            <w:tcW w:type="dxa" w:w="1728"/>
          </w:tcPr>
          <w:p>
            <w:r>
              <w:t>5,1</w:t>
            </w:r>
          </w:p>
        </w:tc>
        <w:tc>
          <w:tcPr>
            <w:tcW w:type="dxa" w:w="1728"/>
          </w:tcPr>
          <w:p>
            <w:r>
              <w:t>26</w:t>
            </w:r>
          </w:p>
        </w:tc>
      </w:tr>
      <w:tr>
        <w:tc>
          <w:tcPr>
            <w:tcW w:type="dxa" w:w="1728"/>
          </w:tcPr>
          <w:p>
            <w:r>
              <w:t>Rest of World</w:t>
            </w:r>
          </w:p>
        </w:tc>
        <w:tc>
          <w:tcPr>
            <w:tcW w:type="dxa" w:w="1728"/>
          </w:tcPr>
          <w:p>
            <w:r>
              <w:t>3 %</w:t>
            </w:r>
          </w:p>
        </w:tc>
        <w:tc>
          <w:tcPr>
            <w:tcW w:type="dxa" w:w="1728"/>
          </w:tcPr>
          <w:p>
            <w:r>
              <w:t>12 %</w:t>
            </w:r>
          </w:p>
        </w:tc>
        <w:tc>
          <w:tcPr>
            <w:tcW w:type="dxa" w:w="1728"/>
          </w:tcPr>
          <w:p>
            <w:r>
              <w:t>3,2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</w:tbl>
    <w:p>
      <w:pPr>
        <w:pStyle w:val="Heading3"/>
      </w:pPr>
      <w:r>
        <w:t>Szenario-Beschreibung</w:t>
      </w:r>
    </w:p>
    <w:p>
      <w:pPr>
        <w:pStyle w:val="ListBullet"/>
      </w:pPr>
      <w:r>
        <w:t>Base: Europaeischer BEV-Anteil 2028 = 42 %; BMS-12-Volumen 2028 = 5,8 Mio. Module.</w:t>
      </w:r>
    </w:p>
    <w:p>
      <w:pPr>
        <w:pStyle w:val="ListBullet"/>
      </w:pPr>
      <w:r>
        <w:t>Upside: BEV-Anteil 2028 = 52 % (regulatorischer Push CO2-Flottenziele); BMS-12 = 7,2 Mio.</w:t>
      </w:r>
    </w:p>
    <w:p>
      <w:pPr>
        <w:pStyle w:val="ListBullet"/>
      </w:pPr>
      <w:r>
        <w:t>Downside: Eindellung durch Subventionsabbau / Energiepreise; BEV-Anteil 2028 = 32 %; BMS-12 = 4,1 Mio.</w:t>
      </w:r>
    </w:p>
    <w:p>
      <w:pPr>
        <w:pStyle w:val="Heading3"/>
      </w:pPr>
      <w:r>
        <w:t>Implikationen fuer Brennhagen</w:t>
      </w:r>
    </w:p>
    <w:p>
      <w:r>
        <w:t>Die BMS-12-Plattform-Expansion in Heilbronn ist kritisch. Capex-Antrag fuer Linie 5/6 (SMT + Final-Assembly) wird vorbereitet (12,8 Mio. EUR). Lieferanten-Diversifizierung (NXP / Infineon / Renesas) verstaerken. China-Strategie ueber RCN Shanghai (CATL-Partnerschaft) vertiefen.</w:t>
      </w:r>
    </w:p>
    <w:p>
      <w:pPr>
        <w:pStyle w:val="Heading3"/>
      </w:pPr>
      <w:r>
        <w:t>Empfohlene strategische Antworten</w:t>
      </w:r>
    </w:p>
    <w:p>
      <w:pPr>
        <w:pStyle w:val="ListBullet"/>
      </w:pPr>
      <w:r>
        <w:t>Capex-Planung an Base-Case ausrichten, Trigger fuer Upside-Anpassung definieren.</w:t>
      </w:r>
    </w:p>
    <w:p>
      <w:pPr>
        <w:pStyle w:val="ListBullet"/>
      </w:pPr>
      <w:r>
        <w:t>Lieferanten-Diversifizierung (Halbleiter) konsequent fortsetzen (siehe Memo Lieferantendiversifizierung).</w:t>
      </w:r>
    </w:p>
    <w:p>
      <w:pPr>
        <w:pStyle w:val="ListBullet"/>
      </w:pPr>
      <w:r>
        <w:t>OEM-Forecast-Hygiene mit BMW, Mercedes-Benz, VW, Stellantis quartalsweise abgleichen.</w:t>
      </w:r>
    </w:p>
    <w:p>
      <w:pPr>
        <w:pStyle w:val="ListBullet"/>
      </w:pPr>
      <w:r>
        <w:t>China-Strategie (RCN Shanghai) angepasst an lokales BEV-Wachstumstempo.</w:t>
      </w:r>
    </w:p>
    <w:p>
      <w:pPr>
        <w:pStyle w:val="ListBullet"/>
      </w:pPr>
      <w:r>
        <w:t>Stressszenario in MFP einarbeiten und an Aufsichtsrat Pruefungsausschuss reporten.</w:t>
      </w:r>
    </w:p>
    <w:p>
      <w:pPr>
        <w:pStyle w:val="Heading3"/>
      </w:pPr>
      <w:r>
        <w:t>Versionierung</w:t>
      </w:r>
    </w:p>
    <w:p>
      <w:r>
        <w:t>Version 1.0 / Stand 15. September 2023. Naechste Revision: 31. Maerz 2024. Verteiler: Vorstand, Strategieausschuss, Aufsichtsrat (Pruefungsausschuss).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