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48V-Bordnetz-Modul (Mild-Hybrid)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»48V-Bordnetz-Modul (Mild-Hybrid)« durch das Innovation Office (Leitung: Dr. Klaus Kessler (RSG Muenchen))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Das 48V-Bordnetz-Modul vereinfacht den Aufbau von Mild-Hybrid-Architekturen (MHEV) und ermoeglicht Energie-Rueckgewinnung bis 12 kW. Schluesselkomponenten sind DC/DC-Konverter (48V/12V, 3 kW), Riemen-Startergenerator (BSG)-Ansteuerung und integriertes Batteriemanagement fuer Lithium-Ionen-48V-Pack. Brennhagen kann auf BMS-12-Bausteine und ECU-900-Plattform aufbauen.</w:t>
      </w:r>
    </w:p>
    <w:p>
      <w:pPr>
        <w:pStyle w:val="Heading3"/>
      </w:pPr>
      <w:r>
        <w:t>Marktchance / Volumen</w:t>
      </w:r>
    </w:p>
    <w:p>
      <w:r>
        <w:t>TAM 2025–2028: 3,5–4,2 Mrd. EUR; SAM Europa: ca. 1,2 Mrd. EUR. Lead-Customer-Kandidaten: Ford-Werke (Kuga MHEV-Refresh), Stellantis (1,5 Hybrid), Hyundai. Preispunkt 35–48 EUR / Modul.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Wettbewerber Continental und Bosch mit etabliertem 48V-Portfolio – Differenzierung notwendig.</w:t>
      </w:r>
    </w:p>
    <w:p>
      <w:pPr>
        <w:pStyle w:val="ListBullet"/>
      </w:pPr>
      <w:r>
        <w:t>Risiko BEV-Substitution: Mild-Hybrid wird mittelfristig durch Voll-BEV ersetzt (Window 2025–2030).</w:t>
      </w:r>
    </w:p>
    <w:p>
      <w:pPr>
        <w:pStyle w:val="ListBullet"/>
      </w:pPr>
      <w:r>
        <w:t>Skill-Gap BSG-Ansteuerung – Aufbau in RSG Muenchen erforderlich.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Pilot-Projekt mit Stellantis Q3/2024 starten (Engineering Sample).</w:t>
      </w:r>
    </w:p>
    <w:p>
      <w:pPr>
        <w:pStyle w:val="ListBullet"/>
      </w:pPr>
      <w:r>
        <w:t>Patent-Recherche durch IP-Office Heilbronn beauftragen.</w:t>
      </w:r>
    </w:p>
    <w:p>
      <w:pPr>
        <w:pStyle w:val="ListBullet"/>
      </w:pPr>
      <w:r>
        <w:t>Capex-Antrag fuer SMT-Linie Heilbronn (3,2 Mio. EUR) vorbereiten.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Dr. Klaus Kessler (RSG Muenchen)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