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KI-getriebenes ADAS (Domain Controller)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»KI-getriebenes ADAS (Domain Controller)« durch das Innovation Office (Leitung: Lars Wittmann (Lead Developer RSG))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AI-driven ADAS nutzt Deep-Learning-Beschleuniger (NVIDIA Drive Thor, Qualcomm Ride Flex) fuer Sensor-Fusion (Radar, LiDAR, Kamera) auf einem Domain Controller (DC). Brennhagen kombiniert ADAS-V4D-Hardware mit Software-Stack auf ROS2 / AUTOSAR Adaptive Basis.</w:t>
      </w:r>
    </w:p>
    <w:p>
      <w:pPr>
        <w:pStyle w:val="Heading3"/>
      </w:pPr>
      <w:r>
        <w:t>Marktchance / Volumen</w:t>
      </w:r>
    </w:p>
    <w:p>
      <w:r>
        <w:t>TAM 2026–2030: 18–24 Mrd. EUR fuer ADAS-Domain-Controller; SAM Europa Premium-OEMs: 6 Mrd. EUR. Lead-Customer-Pipeline: Mercedes-Benz (MMA-Plattform), BMW Neue Klasse.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Wettbewerber Mobileye (EyeQ6), NVIDIA-Mobileye-Tesla-Stack, Qualcomm Snapdragon Ride.</w:t>
      </w:r>
    </w:p>
    <w:p>
      <w:pPr>
        <w:pStyle w:val="ListBullet"/>
      </w:pPr>
      <w:r>
        <w:t>Risiko Halbleiter-Lieferzeiten (NVIDIA Drive Thor) – Allocation-Gespraeche notwendig.</w:t>
      </w:r>
    </w:p>
    <w:p>
      <w:pPr>
        <w:pStyle w:val="ListBullet"/>
      </w:pPr>
      <w:r>
        <w:t>Regulatorisches Risiko EU AI Act – Konformitaetsbewertung erforderlich.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Joint-Development-Vereinbarung mit NVIDIA pruefen.</w:t>
      </w:r>
    </w:p>
    <w:p>
      <w:pPr>
        <w:pStyle w:val="ListBullet"/>
      </w:pPr>
      <w:r>
        <w:t>ASPICE-Level-3-Audit RSG abschliessen (Q4/2024).</w:t>
      </w:r>
    </w:p>
    <w:p>
      <w:pPr>
        <w:pStyle w:val="ListBullet"/>
      </w:pPr>
      <w:r>
        <w:t>Foerderantrag IPCEI-CIS einreichen.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Lars Wittmann (Lead Developer RSG)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