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Automotive Wi-Fi 7 Modul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»Automotive Wi-Fi 7 Modul« durch das Innovation Office (Leitung: Dr. Klaus Kessler (RSG Muenchen))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Automotive Wi-Fi 7 (IEEE 802.11be) ermoeglicht Multi-Gigabit-Konnektivitaet im Fahrzeug (In-Car-Streaming, V2X-Daten, OTA-Massendownload). Brennhagen plant ein integriertes Modul mit Qualcomm FastConnect 7800-Chipsatz, AEC-Q100 Grade 3 Qualifizierung.</w:t>
      </w:r>
    </w:p>
    <w:p>
      <w:pPr>
        <w:pStyle w:val="Heading3"/>
      </w:pPr>
      <w:r>
        <w:t>Marktchance / Volumen</w:t>
      </w:r>
    </w:p>
    <w:p>
      <w:r>
        <w:t>TAM 2026–2030: 0,8–1,5 Mrd. EUR; Wachstum getrieben durch SDV-Architekturen und Streaming-Use-Cases (rear-seat entertainment).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Konkurrenz durch LG Innotek, Continental, Marquardt, Murata.</w:t>
      </w:r>
    </w:p>
    <w:p>
      <w:pPr>
        <w:pStyle w:val="ListBullet"/>
      </w:pPr>
      <w:r>
        <w:t>Risiko Spektrum-Allocation (6 GHz Band) – regulatorische Klaerung in DE/EU teils offen.</w:t>
      </w:r>
    </w:p>
    <w:p>
      <w:pPr>
        <w:pStyle w:val="ListBullet"/>
      </w:pPr>
      <w:r>
        <w:t>Risiko Chipsatz-Verfuegbarkeit Qualcomm – Single-Source.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Sample-Lieferung an BMW (MGU2) Q2/2025.</w:t>
      </w:r>
    </w:p>
    <w:p>
      <w:pPr>
        <w:pStyle w:val="ListBullet"/>
      </w:pPr>
      <w:r>
        <w:t>Kooperation mit Qualcomm-Automotive-Team vertiefen.</w:t>
      </w:r>
    </w:p>
    <w:p>
      <w:pPr>
        <w:pStyle w:val="ListBullet"/>
      </w:pPr>
      <w:r>
        <w:t>ICP-3-Plattform-Variante »ICP-3 Connect« definieren.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Dr. Klaus Kessler (RSG Muenchen)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