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Innovations-Memo: Digital Twin Fertigung</w:t>
      </w:r>
    </w:p>
    <w:p>
      <w:pPr>
        <w:jc w:val="center"/>
      </w:pPr>
      <w:r>
        <w:t>Technologie- und Marktbewertung – Vorstandsvorlage CTO/CMO – 2024</w:t>
      </w:r>
    </w:p>
    <w:p/>
    <w:p>
      <w:pPr>
        <w:pStyle w:val="Heading3"/>
      </w:pPr>
      <w:r>
        <w:t>Anlass und Auftrag</w:t>
      </w:r>
    </w:p>
    <w:p>
      <w:r>
        <w:t>Im Rahmen der Technologie-Watch des Konzerns wurde der Themenkomplex »Digital Twin Fertigung« durch das Innovation Office (Leitung: Dr. Thomas Weber (COO)) bewertet. Das Memo dient als Entscheidungsvorlage fuer den Vorstand und beschreibt Technologie, Marktchance, Risiken und empfohlene Naechste Schritte. Es wurde gemeinsam mit der RSG-Entwicklung in Muenchen (Dr. Klaus Kessler) sowie der Konzernforschung (Werk Heilbronn) erarbeitet und mit dem Lead-Customer-Team (BMW, Mercedes-Benz, VW) gegengelesen.</w:t>
      </w:r>
    </w:p>
    <w:p>
      <w:pPr>
        <w:pStyle w:val="Heading3"/>
      </w:pPr>
      <w:r>
        <w:t>Technologische Beschreibung</w:t>
      </w:r>
    </w:p>
    <w:p>
      <w:r>
        <w:t>Digital Twin der Produktionslinien in Heilbronn und Katowice basierend auf Siemens MindSphere und SAP DMC. Ziel: Echtzeit-OEE-Monitoring, Predictive Maintenance, Energieverbrauchs-Optimierung (ISO 50001).</w:t>
      </w:r>
    </w:p>
    <w:p>
      <w:pPr>
        <w:pStyle w:val="Heading3"/>
      </w:pPr>
      <w:r>
        <w:t>Marktchance / Volumen</w:t>
      </w:r>
    </w:p>
    <w:p>
      <w:r>
        <w:t>Quantifizierter Nutzen: OEE +3 ppt (entspricht ca. 7 Mio. EUR Marge p.a.); Energieverbrauch -12 % (Beitrag ESG / Scope 2).</w:t>
      </w:r>
    </w:p>
    <w:p>
      <w:pPr>
        <w:pStyle w:val="Heading3"/>
      </w:pPr>
      <w:r>
        <w:t>Wettbewerbsumfeld</w:t>
      </w:r>
    </w:p>
    <w:p>
      <w:r>
        <w:t>Relevante Wettbewerber: Continental AG, Robert Bosch GmbH, ZF Friedrichshafen AG, Aptiv plc, Visteon Corp., Magna International, Lear Corporation, Sensata Technologies sowie asiatische Spezialisten (Denso, Hyundai Mobis). Im Hinblick auf den Technologie-Reifegrad (TRL 6–7) sieht das Memo Brennhagen als Fast Follower mit klarem Differenzierungspotenzial im Bereich Software-Integration.</w:t>
      </w:r>
    </w:p>
    <w:p>
      <w:pPr>
        <w:pStyle w:val="Heading3"/>
      </w:pPr>
      <w:r>
        <w:t>Risiken und Annahmen</w:t>
      </w:r>
    </w:p>
    <w:p>
      <w:pPr>
        <w:pStyle w:val="ListBullet"/>
      </w:pPr>
      <w:r>
        <w:t>Risiko OT/IT-Konvergenz – Cybersecurity, Segmentierung mit SOC erforderlich.</w:t>
      </w:r>
    </w:p>
    <w:p>
      <w:pPr>
        <w:pStyle w:val="ListBullet"/>
      </w:pPr>
      <w:r>
        <w:t>Risiko Akzeptanz Werkleitung – Change-Management notwendig.</w:t>
      </w:r>
    </w:p>
    <w:p>
      <w:pPr>
        <w:pStyle w:val="ListBullet"/>
      </w:pPr>
      <w:r>
        <w:t>Risiko Datenqualitaet aus Altanlagen – Retrofit-Sensorik teils notwendig.</w:t>
      </w:r>
    </w:p>
    <w:p>
      <w:pPr>
        <w:pStyle w:val="Heading3"/>
      </w:pPr>
      <w:r>
        <w:t>Investitions- und Ressourcenbedarf</w:t>
      </w:r>
    </w:p>
    <w:p>
      <w:r>
        <w:t>Geschaetzter Capex-Bedarf 2025–2027: 18–32 Mio. EUR (Pilot + Pre-Series). FTE-Bedarf: 12–22 Engineers (RSG Muenchen / REG Heilbronn). Investitionsabflusse sind im Capital Allocation Framework 2023 abgebildet und werden im Q-Update an den Aufsichtsrat berichtet. Foerdermoeglichkeiten (IPCEI, KDT-JU, BMWK) werden gepruef.</w:t>
      </w:r>
    </w:p>
    <w:p>
      <w:pPr>
        <w:pStyle w:val="Heading3"/>
      </w:pPr>
      <w:r>
        <w:t>Empfehlung und naechste Schritte</w:t>
      </w:r>
    </w:p>
    <w:p>
      <w:pPr>
        <w:pStyle w:val="ListBullet"/>
      </w:pPr>
      <w:r>
        <w:t>Pilot in Heilbronn Linie 4 Q1/2024.</w:t>
      </w:r>
    </w:p>
    <w:p>
      <w:pPr>
        <w:pStyle w:val="ListBullet"/>
      </w:pPr>
      <w:r>
        <w:t>Roll-out Katowice Q3/2024.</w:t>
      </w:r>
    </w:p>
    <w:p>
      <w:pPr>
        <w:pStyle w:val="ListBullet"/>
      </w:pPr>
      <w:r>
        <w:t>Integration in Group Performance Management System (GPMS).</w:t>
      </w:r>
    </w:p>
    <w:p>
      <w:pPr>
        <w:pStyle w:val="Heading3"/>
      </w:pPr>
      <w:r>
        <w:t>Freigabe</w:t>
      </w:r>
    </w:p>
    <w:p>
      <w:r>
        <w:t>Ort, Datum: Stuttgart, den 14. Maerz 2024</w:t>
      </w:r>
    </w:p>
    <w:p>
      <w:r>
        <w:t>_________________________            _________________________</w:t>
        <w:br/>
        <w:t>Dr. Thomas Weber (COO)                          Anna Mueller</w:t>
        <w:br/>
        <w:t>Sponsor / Innovation Office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