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Innovations-Memo: LiDAR-Integration ADAS-V4D</w:t>
      </w:r>
    </w:p>
    <w:p>
      <w:pPr>
        <w:jc w:val="center"/>
      </w:pPr>
      <w:r>
        <w:t>Technologie- und Marktbewertung – Vorstandsvorlage CTO/CMO – 2024</w:t>
      </w:r>
    </w:p>
    <w:p/>
    <w:p>
      <w:pPr>
        <w:pStyle w:val="Heading3"/>
      </w:pPr>
      <w:r>
        <w:t>Anlass und Auftrag</w:t>
      </w:r>
    </w:p>
    <w:p>
      <w:r>
        <w:t>Im Rahmen der Technologie-Watch des Konzerns wurde der Themenkomplex »LiDAR-Integration ADAS-V4D« durch das Innovation Office (Leitung: Lars Wittmann (Lead Developer RSG)) bewertet. Das Memo dient als Entscheidungsvorlage fuer den Vorstand und beschreibt Technologie, Marktchance, Risiken und empfohlene Naechste Schritte. Es wurde gemeinsam mit der RSG-Entwicklung in Muenchen (Dr. Klaus Kessler) sowie der Konzernforschung (Werk Heilbronn) erarbeitet und mit dem Lead-Customer-Team (BMW, Mercedes-Benz, VW) gegengelesen.</w:t>
      </w:r>
    </w:p>
    <w:p>
      <w:pPr>
        <w:pStyle w:val="Heading3"/>
      </w:pPr>
      <w:r>
        <w:t>Technologische Beschreibung</w:t>
      </w:r>
    </w:p>
    <w:p>
      <w:r>
        <w:t>Integration eines Solid-State-LiDAR (Innoviz, Luminar, Valeo SCALA 3) in das ADAS-V4D-System. Sensor-Fusion auf ECU-Level mit Radar + Kamera. Ziel: Hands-Free L3 Autobahn ab 130 km/h.</w:t>
      </w:r>
    </w:p>
    <w:p>
      <w:pPr>
        <w:pStyle w:val="Heading3"/>
      </w:pPr>
      <w:r>
        <w:t>Marktchance / Volumen</w:t>
      </w:r>
    </w:p>
    <w:p>
      <w:r>
        <w:t>TAM Premium-Segment 2027–2030: 4,5–6,2 Mrd. EUR. Lead-Customer: Mercedes-Benz (Drive Pilot 2).</w:t>
      </w:r>
    </w:p>
    <w:p>
      <w:pPr>
        <w:pStyle w:val="Heading3"/>
      </w:pPr>
      <w:r>
        <w:t>Wettbewerbsumfeld</w:t>
      </w:r>
    </w:p>
    <w:p>
      <w:r>
        <w:t>Relevante Wettbewerber: Continental AG, Robert Bosch GmbH, ZF Friedrichshafen AG, Aptiv plc, Visteon Corp., Magna International, Lear Corporation, Sensata Technologies sowie asiatische Spezialisten (Denso, Hyundai Mobis). Im Hinblick auf den Technologie-Reifegrad (TRL 6–7) sieht das Memo Brennhagen als Fast Follower mit klarem Differenzierungspotenzial im Bereich Software-Integration.</w:t>
      </w:r>
    </w:p>
    <w:p>
      <w:pPr>
        <w:pStyle w:val="Heading3"/>
      </w:pPr>
      <w:r>
        <w:t>Risiken und Annahmen</w:t>
      </w:r>
    </w:p>
    <w:p>
      <w:pPr>
        <w:pStyle w:val="ListBullet"/>
      </w:pPr>
      <w:r>
        <w:t>Hohe Kosten LiDAR-Sensor (350–600 EUR/Stueck) – Kosten-Roadmap kritisch.</w:t>
      </w:r>
    </w:p>
    <w:p>
      <w:pPr>
        <w:pStyle w:val="ListBullet"/>
      </w:pPr>
      <w:r>
        <w:t>Wettbewerb durch Mobileye Chauffeur und Tesla FSD-Stack.</w:t>
      </w:r>
    </w:p>
    <w:p>
      <w:pPr>
        <w:pStyle w:val="ListBullet"/>
      </w:pPr>
      <w:r>
        <w:t>Regulatorische Anforderungen UNECE R157 (ALKS).</w:t>
      </w:r>
    </w:p>
    <w:p>
      <w:pPr>
        <w:pStyle w:val="Heading3"/>
      </w:pPr>
      <w:r>
        <w:t>Investitions- und Ressourcenbedarf</w:t>
      </w:r>
    </w:p>
    <w:p>
      <w:r>
        <w:t>Geschaetzter Capex-Bedarf 2025–2027: 18–32 Mio. EUR (Pilot + Pre-Series). FTE-Bedarf: 12–22 Engineers (RSG Muenchen / REG Heilbronn). Investitionsabflusse sind im Capital Allocation Framework 2023 abgebildet und werden im Q-Update an den Aufsichtsrat berichtet. Foerdermoeglichkeiten (IPCEI, KDT-JU, BMWK) werden gepruef.</w:t>
      </w:r>
    </w:p>
    <w:p>
      <w:pPr>
        <w:pStyle w:val="Heading3"/>
      </w:pPr>
      <w:r>
        <w:t>Empfehlung und naechste Schritte</w:t>
      </w:r>
    </w:p>
    <w:p>
      <w:pPr>
        <w:pStyle w:val="ListBullet"/>
      </w:pPr>
      <w:r>
        <w:t>Sourcing-Strategie LiDAR-Sensor (Dual-Source Valeo / Luminar).</w:t>
      </w:r>
    </w:p>
    <w:p>
      <w:pPr>
        <w:pStyle w:val="ListBullet"/>
      </w:pPr>
      <w:r>
        <w:t>Sample-Programm Mercedes-Benz Q3/2025.</w:t>
      </w:r>
    </w:p>
    <w:p>
      <w:pPr>
        <w:pStyle w:val="ListBullet"/>
      </w:pPr>
      <w:r>
        <w:t>Patentanmeldung Fusion-Algorithmus durch RSG.</w:t>
      </w:r>
    </w:p>
    <w:p>
      <w:pPr>
        <w:pStyle w:val="Heading3"/>
      </w:pPr>
      <w:r>
        <w:t>Freigabe</w:t>
      </w:r>
    </w:p>
    <w:p>
      <w:r>
        <w:t>Ort, Datum: Stuttgart, den 14. Maerz 2024</w:t>
      </w:r>
    </w:p>
    <w:p>
      <w:r>
        <w:t>_________________________            _________________________</w:t>
        <w:br/>
        <w:t>Lars Wittmann (Lead Developer RSG)                          Anna Mueller</w:t>
        <w:br/>
        <w:t>Sponsor / Innovation Office                          CEO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