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Innovations-Memo: OTA-Update-Plattform v3 (»BrennhagenOS«)</w:t>
      </w:r>
    </w:p>
    <w:p>
      <w:pPr>
        <w:jc w:val="center"/>
      </w:pPr>
      <w:r>
        <w:t>Technologie- und Marktbewertung – Vorstandsvorlage CTO/CMO – 2024</w:t>
      </w:r>
    </w:p>
    <w:p/>
    <w:p>
      <w:pPr>
        <w:pStyle w:val="Heading3"/>
      </w:pPr>
      <w:r>
        <w:t>Anlass und Auftrag</w:t>
      </w:r>
    </w:p>
    <w:p>
      <w:r>
        <w:t>Im Rahmen der Technologie-Watch des Konzerns wurde der Themenkomplex »OTA-Update-Plattform v3 (»BrennhagenOS«)« durch das Innovation Office (Leitung: Dr. Klaus Kessler (RSG Muenchen)) bewertet. Das Memo dient als Entscheidungsvorlage fuer den Vorstand und beschreibt Technologie, Marktchance, Risiken und empfohlene Naechste Schritte. Es wurde gemeinsam mit der RSG-Entwicklung in Muenchen (Dr. Klaus Kessler) sowie der Konzernforschung (Werk Heilbronn) erarbeitet und mit dem Lead-Customer-Team (BMW, Mercedes-Benz, VW) gegengelesen.</w:t>
      </w:r>
    </w:p>
    <w:p>
      <w:pPr>
        <w:pStyle w:val="Heading3"/>
      </w:pPr>
      <w:r>
        <w:t>Technologische Beschreibung</w:t>
      </w:r>
    </w:p>
    <w:p>
      <w:r>
        <w:t>Over-the-Air-Update-Plattform fuer ECU-900, ICP-3 und ADAS-V4D. Architektur: Edge-Caching, delta-Updates (UPDATE-3.0), kryptographische Signaturen (UNECE R156 konform). Backend: AWS EU (Frankfurt) mit Failover ins Konzern-RZ Stuttgart.</w:t>
      </w:r>
    </w:p>
    <w:p>
      <w:pPr>
        <w:pStyle w:val="Heading3"/>
      </w:pPr>
      <w:r>
        <w:t>Marktchance / Volumen</w:t>
      </w:r>
    </w:p>
    <w:p>
      <w:r>
        <w:t>Geschaeftsmodell: Subscription / Pay-per-Update; ARR-Ziel 2028: 35 Mio. EUR. Cross-Sell ueber alle OEM-Plattformen.</w:t>
      </w:r>
    </w:p>
    <w:p>
      <w:pPr>
        <w:pStyle w:val="Heading3"/>
      </w:pPr>
      <w:r>
        <w:t>Wettbewerbsumfeld</w:t>
      </w:r>
    </w:p>
    <w:p>
      <w:r>
        <w:t>Relevante Wettbewerber: Continental AG, Robert Bosch GmbH, ZF Friedrichshafen AG, Aptiv plc, Visteon Corp., Magna International, Lear Corporation, Sensata Technologies sowie asiatische Spezialisten (Denso, Hyundai Mobis). Im Hinblick auf den Technologie-Reifegrad (TRL 6–7) sieht das Memo Brennhagen als Fast Follower mit klarem Differenzierungspotenzial im Bereich Software-Integration.</w:t>
      </w:r>
    </w:p>
    <w:p>
      <w:pPr>
        <w:pStyle w:val="Heading3"/>
      </w:pPr>
      <w:r>
        <w:t>Risiken und Annahmen</w:t>
      </w:r>
    </w:p>
    <w:p>
      <w:pPr>
        <w:pStyle w:val="ListBullet"/>
      </w:pPr>
      <w:r>
        <w:t>Cybersecurity-Risiken UNECE R155 – TARA und Penetration-Tests verpflichtend.</w:t>
      </w:r>
    </w:p>
    <w:p>
      <w:pPr>
        <w:pStyle w:val="ListBullet"/>
      </w:pPr>
      <w:r>
        <w:t>OEM-Akzeptanz unterschiedlich – manche OEMs wollen eigene Update-Backbones.</w:t>
      </w:r>
    </w:p>
    <w:p>
      <w:pPr>
        <w:pStyle w:val="ListBullet"/>
      </w:pPr>
      <w:r>
        <w:t>Hyperscaler-Abhaengigkeit AWS – Cloud-Exit-Strategie definieren.</w:t>
      </w:r>
    </w:p>
    <w:p>
      <w:pPr>
        <w:pStyle w:val="Heading3"/>
      </w:pPr>
      <w:r>
        <w:t>Investitions- und Ressourcenbedarf</w:t>
      </w:r>
    </w:p>
    <w:p>
      <w:r>
        <w:t>Geschaetzter Capex-Bedarf 2025–2027: 18–32 Mio. EUR (Pilot + Pre-Series). FTE-Bedarf: 12–22 Engineers (RSG Muenchen / REG Heilbronn). Investitionsabflusse sind im Capital Allocation Framework 2023 abgebildet und werden im Q-Update an den Aufsichtsrat berichtet. Foerdermoeglichkeiten (IPCEI, KDT-JU, BMWK) werden gepruef.</w:t>
      </w:r>
    </w:p>
    <w:p>
      <w:pPr>
        <w:pStyle w:val="Heading3"/>
      </w:pPr>
      <w:r>
        <w:t>Empfehlung und naechste Schritte</w:t>
      </w:r>
    </w:p>
    <w:p>
      <w:pPr>
        <w:pStyle w:val="ListBullet"/>
      </w:pPr>
      <w:r>
        <w:t>Pilot mit Stellantis (ECU-900) Q1/2025.</w:t>
      </w:r>
    </w:p>
    <w:p>
      <w:pPr>
        <w:pStyle w:val="ListBullet"/>
      </w:pPr>
      <w:r>
        <w:t>Integration in ICP-3 mit BMW Q3/2025.</w:t>
      </w:r>
    </w:p>
    <w:p>
      <w:pPr>
        <w:pStyle w:val="ListBullet"/>
      </w:pPr>
      <w:r>
        <w:t>Geschaeftsmodell-Validierung mit IR / CFO fuer Capital Markets Day 2025.</w:t>
      </w:r>
    </w:p>
    <w:p>
      <w:pPr>
        <w:pStyle w:val="Heading3"/>
      </w:pPr>
      <w:r>
        <w:t>Freigabe</w:t>
      </w:r>
    </w:p>
    <w:p>
      <w:r>
        <w:t>Ort, Datum: Stuttgart, den 14. Maerz 2024</w:t>
      </w:r>
    </w:p>
    <w:p>
      <w:r>
        <w:t>_________________________            _________________________</w:t>
        <w:br/>
        <w:t>Dr. Klaus Kessler (RSG Muenchen)                          Anna Mueller</w:t>
        <w:br/>
        <w:t>Sponsor / Innovation Office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