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BMS fuer Solid-State-Batterien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»BMS fuer Solid-State-Batterien« durch das Innovation Office (Leitung: Sabine Brand (Q-Leitung REG))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Anpassung der BMS-12-Plattform an Solid-State-Batterien (SSB) der Generation 2027+ (Lead-Kunden VW PowerCo, Mercedes-Factorial, Hyundai). SSB erfordern hoehere Spannungen (&gt;900 V), niedrigere Innenwiderstaende und neue Thermomanagement-Strategien.</w:t>
      </w:r>
    </w:p>
    <w:p>
      <w:pPr>
        <w:pStyle w:val="Heading3"/>
      </w:pPr>
      <w:r>
        <w:t>Marktchance / Volumen</w:t>
      </w:r>
    </w:p>
    <w:p>
      <w:r>
        <w:t>TAM 2028–2032: 8–14 Mrd. EUR. Brennhagen in fruehzeitiger Co-Engineering-Phase mit VW PowerCo (Salzgitter) sowie Hyundai (Ulsan).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Technologie-Risiko SSB-Reife – Verzoegerungen 2027 → 2029 wahrscheinlich.</w:t>
      </w:r>
    </w:p>
    <w:p>
      <w:pPr>
        <w:pStyle w:val="ListBullet"/>
      </w:pPr>
      <w:r>
        <w:t>Wettbewerb chinesische Anbieter (CATL, BYD) mit eigener BMS-Integration.</w:t>
      </w:r>
    </w:p>
    <w:p>
      <w:pPr>
        <w:pStyle w:val="ListBullet"/>
      </w:pPr>
      <w:r>
        <w:t>FuE-Investitionsbedarf hoch (&gt;22 Mio. EUR ueber 4 Jahre).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Joint-Engineering-Vereinbarung VW PowerCo unterzeichnen (Q3/2024).</w:t>
      </w:r>
    </w:p>
    <w:p>
      <w:pPr>
        <w:pStyle w:val="ListBullet"/>
      </w:pPr>
      <w:r>
        <w:t>Patentstrategie SSB-BMS definieren.</w:t>
      </w:r>
    </w:p>
    <w:p>
      <w:pPr>
        <w:pStyle w:val="ListBullet"/>
      </w:pPr>
      <w:r>
        <w:t>Foerderantrag IPCEI-Batterie pruefen.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Sabine Brand (Q-Leitung REG)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