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V2X-Kommunikationsmodul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»V2X-Kommunikationsmodul« durch das Innovation Office (Leitung: Dr. Klaus Kessler (RSG Muenchen))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Vehicle-to-Everything (V2X) Modul mit C-V2X (3GPP Release 17) und ITS-G5 Dual-Mode. Anwendungsszenarien: Cooperative Adaptive Cruise Control, Intersection Movement Assist, Hazard Warning. AEC-Q100 Grade 2 Qualifizierung.</w:t>
      </w:r>
    </w:p>
    <w:p>
      <w:pPr>
        <w:pStyle w:val="Heading3"/>
      </w:pPr>
      <w:r>
        <w:t>Marktchance / Volumen</w:t>
      </w:r>
    </w:p>
    <w:p>
      <w:r>
        <w:t>TAM 2027–2031: 2,2–3,8 Mrd. EUR. EU C-ITS-Mandat foerdert Marktdurchbruch ab 2026/27.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Regulatorische Unsicherheit C-V2X vs. ITS-G5 (EU-Pruefung).</w:t>
      </w:r>
    </w:p>
    <w:p>
      <w:pPr>
        <w:pStyle w:val="ListBullet"/>
      </w:pPr>
      <w:r>
        <w:t>Konkurrenz Continental, Bosch, LG Innotek.</w:t>
      </w:r>
    </w:p>
    <w:p>
      <w:pPr>
        <w:pStyle w:val="ListBullet"/>
      </w:pPr>
      <w:r>
        <w:t>Chipsatz-Single-Source Qualcomm 9150 – Alternative Autotalks pruefen.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Field-Trial mit ASFINAG (AT) und BASt (DE) Q2/2025.</w:t>
      </w:r>
    </w:p>
    <w:p>
      <w:pPr>
        <w:pStyle w:val="ListBullet"/>
      </w:pPr>
      <w:r>
        <w:t>Sample-Lieferung VW Q4/2025.</w:t>
      </w:r>
    </w:p>
    <w:p>
      <w:pPr>
        <w:pStyle w:val="ListBullet"/>
      </w:pPr>
      <w:r>
        <w:t>Patentanmeldung Multi-Channel-Sicherheit.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Dr. Klaus Kessler (RSG Muenchen)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