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Innovations-Memo: Zonal ECU Architektur</w:t>
      </w:r>
    </w:p>
    <w:p>
      <w:pPr>
        <w:jc w:val="center"/>
      </w:pPr>
      <w:r>
        <w:t>Technologie- und Marktbewertung – Vorstandsvorlage CTO/CMO – 2024</w:t>
      </w:r>
    </w:p>
    <w:p/>
    <w:p>
      <w:pPr>
        <w:pStyle w:val="Heading3"/>
      </w:pPr>
      <w:r>
        <w:t>Anlass und Auftrag</w:t>
      </w:r>
    </w:p>
    <w:p>
      <w:r>
        <w:t>Im Rahmen der Technologie-Watch des Konzerns wurde der Themenkomplex »Zonal ECU Architektur« durch das Innovation Office (Leitung: Lars Wittmann (Lead Developer RSG)) bewertet. Das Memo dient als Entscheidungsvorlage fuer den Vorstand und beschreibt Technologie, Marktchance, Risiken und empfohlene Naechste Schritte. Es wurde gemeinsam mit der RSG-Entwicklung in Muenchen (Dr. Klaus Kessler) sowie der Konzernforschung (Werk Heilbronn) erarbeitet und mit dem Lead-Customer-Team (BMW, Mercedes-Benz, VW) gegengelesen.</w:t>
      </w:r>
    </w:p>
    <w:p>
      <w:pPr>
        <w:pStyle w:val="Heading3"/>
      </w:pPr>
      <w:r>
        <w:t>Technologische Beschreibung</w:t>
      </w:r>
    </w:p>
    <w:p>
      <w:r>
        <w:t>Zonal-ECU-Architektur konsolidiert Fahrzeug-Funktionen in 4–6 Zonen-Controllern statt 80+ dezidierten ECUs. Hauptvorteile: 30–45 % Kabelbaumreduktion, einfachere SDV-Integration, geringeres Gewicht. Brennhagen kombiniert ECU-900-Plattform mit BrennhagenOS.</w:t>
      </w:r>
    </w:p>
    <w:p>
      <w:pPr>
        <w:pStyle w:val="Heading3"/>
      </w:pPr>
      <w:r>
        <w:t>Marktchance / Volumen</w:t>
      </w:r>
    </w:p>
    <w:p>
      <w:r>
        <w:t>TAM 2027–2031: 5,5–8,2 Mrd. EUR. Lead-Plattformen: BMW Neue Klasse, Mercedes MMA, Stellantis STLA.</w:t>
      </w:r>
    </w:p>
    <w:p>
      <w:pPr>
        <w:pStyle w:val="Heading3"/>
      </w:pPr>
      <w:r>
        <w:t>Wettbewerbsumfeld</w:t>
      </w:r>
    </w:p>
    <w:p>
      <w:r>
        <w:t>Relevante Wettbewerber: Continental AG, Robert Bosch GmbH, ZF Friedrichshafen AG, Aptiv plc, Visteon Corp., Magna International, Lear Corporation, Sensata Technologies sowie asiatische Spezialisten (Denso, Hyundai Mobis). Im Hinblick auf den Technologie-Reifegrad (TRL 6–7) sieht das Memo Brennhagen als Fast Follower mit klarem Differenzierungspotenzial im Bereich Software-Integration.</w:t>
      </w:r>
    </w:p>
    <w:p>
      <w:pPr>
        <w:pStyle w:val="Heading3"/>
      </w:pPr>
      <w:r>
        <w:t>Risiken und Annahmen</w:t>
      </w:r>
    </w:p>
    <w:p>
      <w:pPr>
        <w:pStyle w:val="ListBullet"/>
      </w:pPr>
      <w:r>
        <w:t>Konkurrenz durch ZF (zFAS), Continental, Bosch, Aptiv (Smart Vehicle Architecture).</w:t>
      </w:r>
    </w:p>
    <w:p>
      <w:pPr>
        <w:pStyle w:val="ListBullet"/>
      </w:pPr>
      <w:r>
        <w:t>Skill-Gap Zonen-Controller-Validierung – RSG-Recruitment in Muenchen.</w:t>
      </w:r>
    </w:p>
    <w:p>
      <w:pPr>
        <w:pStyle w:val="ListBullet"/>
      </w:pPr>
      <w:r>
        <w:t>Standardisierungs-Risiko AUTOSAR Adaptive vs. proprietaere OEM-Stacks.</w:t>
      </w:r>
    </w:p>
    <w:p>
      <w:pPr>
        <w:pStyle w:val="Heading3"/>
      </w:pPr>
      <w:r>
        <w:t>Investitions- und Ressourcenbedarf</w:t>
      </w:r>
    </w:p>
    <w:p>
      <w:r>
        <w:t>Geschaetzter Capex-Bedarf 2025–2027: 18–32 Mio. EUR (Pilot + Pre-Series). FTE-Bedarf: 12–22 Engineers (RSG Muenchen / REG Heilbronn). Investitionsabflusse sind im Capital Allocation Framework 2023 abgebildet und werden im Q-Update an den Aufsichtsrat berichtet. Foerdermoeglichkeiten (IPCEI, KDT-JU, BMWK) werden gepruef.</w:t>
      </w:r>
    </w:p>
    <w:p>
      <w:pPr>
        <w:pStyle w:val="Heading3"/>
      </w:pPr>
      <w:r>
        <w:t>Empfehlung und naechste Schritte</w:t>
      </w:r>
    </w:p>
    <w:p>
      <w:pPr>
        <w:pStyle w:val="ListBullet"/>
      </w:pPr>
      <w:r>
        <w:t>Sample-Lieferung BMW Neue Klasse Q2/2026.</w:t>
      </w:r>
    </w:p>
    <w:p>
      <w:pPr>
        <w:pStyle w:val="ListBullet"/>
      </w:pPr>
      <w:r>
        <w:t>Co-Development Mercedes-Benz MMA pruefen.</w:t>
      </w:r>
    </w:p>
    <w:p>
      <w:pPr>
        <w:pStyle w:val="ListBullet"/>
      </w:pPr>
      <w:r>
        <w:t>Capex-Antrag Heilbronn fuer Zonen-Controller-Linie (8,2 Mio. EUR).</w:t>
      </w:r>
    </w:p>
    <w:p>
      <w:pPr>
        <w:pStyle w:val="Heading3"/>
      </w:pPr>
      <w:r>
        <w:t>Freigabe</w:t>
      </w:r>
    </w:p>
    <w:p>
      <w:r>
        <w:t>Ort, Datum: Stuttgart, den 14. Maerz 2024</w:t>
      </w:r>
    </w:p>
    <w:p>
      <w:r>
        <w:t>_________________________            _________________________</w:t>
        <w:br/>
        <w:t>Lars Wittmann (Lead Developer RSG)                          Anna Mueller</w:t>
        <w:br/>
        <w:t>Sponsor / Innovation Office                          CEO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