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Investorentag 2021 – Q&amp;A-Protokoll</w:t>
      </w:r>
    </w:p>
    <w:p>
      <w:pPr>
        <w:jc w:val="center"/>
      </w:pPr>
      <w:r>
        <w:t>Capital Markets Day 2021, Frankfurt am Main (Vor-IPO); Vertraulich – Investor-Relations</w:t>
      </w:r>
    </w:p>
    <w:p/>
    <w:p>
      <w:pPr>
        <w:pStyle w:val="Heading3"/>
      </w:pPr>
      <w:r>
        <w:t>Veranstaltungsdaten</w:t>
      </w:r>
    </w:p>
    <w:p>
      <w:r>
        <w:t>Datum: 22. September 2021. Ort: Frankfurt am Main (Vor-IPO). Teilnehmer Brennhagen Elektronik AG: CEO Anna Mueller, CFO Laura Bauer, COO Dr. Thomas Weber, CTO Stefan Hoffmann. Moderation: Head of Investor Relations (Dr. Susanne Lehmann). Teilnehmer-Investoren: rund 65 institutionelle Investoren (Sell-Side + Buy-Side), darunter Deka, DWS, Union, Allianz GI, BlackRock, Fidelity, Capital Group, UBS, Berenberg, Goldman Sachs. Format: Hybrid (Praesenz + Webcast).</w:t>
      </w:r>
    </w:p>
    <w:p>
      <w:pPr>
        <w:pStyle w:val="Heading3"/>
      </w:pPr>
      <w:r>
        <w:t>Kernthemen / Agenda</w:t>
      </w:r>
    </w:p>
    <w:p>
      <w:pPr>
        <w:pStyle w:val="ListBullet"/>
      </w:pPr>
      <w:r>
        <w:t>Strategie Precision Growth 2021–2025 (CEO Anna Mueller)</w:t>
      </w:r>
    </w:p>
    <w:p>
      <w:pPr>
        <w:pStyle w:val="ListBullet"/>
      </w:pPr>
      <w:r>
        <w:t>Operative Lage / OEE-Status (COO Dr. Thomas Weber)</w:t>
      </w:r>
    </w:p>
    <w:p>
      <w:pPr>
        <w:pStyle w:val="ListBullet"/>
      </w:pPr>
      <w:r>
        <w:t>Finanzplanung 2021–2025 und IPO-Vorbereitung (CFO Laura Bauer)</w:t>
      </w:r>
    </w:p>
    <w:p>
      <w:pPr>
        <w:pStyle w:val="ListBullet"/>
      </w:pPr>
      <w:r>
        <w:t>Technologie-Roadmap BMS / ADAS / Infotainment (CTO Stefan Hoffmann)</w:t>
      </w:r>
    </w:p>
    <w:p>
      <w:pPr>
        <w:pStyle w:val="ListBullet"/>
      </w:pPr>
      <w:r>
        <w:t>ESG-Vorbereitung CSRD und SBTi (CFO)</w:t>
      </w:r>
    </w:p>
    <w:p>
      <w:pPr>
        <w:pStyle w:val="Heading3"/>
      </w:pPr>
      <w:r>
        <w:t>Frage- und Antwortrunde</w:t>
      </w:r>
    </w:p>
    <w:p>
      <w:pPr>
        <w:pStyle w:val="ListBullet"/>
      </w:pPr>
      <w:r>
        <w:t>Q1 (Berenberg): Wie hoch ist die Sensitivitaet auf Halbleiterpreise? A: CFO – Materialkosten-Exposure ca. 12 %, Pass-Through-Mechanismus mit OEMs in 70 % der Vertraege.</w:t>
      </w:r>
    </w:p>
    <w:p>
      <w:pPr>
        <w:pStyle w:val="ListBullet"/>
      </w:pPr>
      <w:r>
        <w:t>Q2 (Deutsche Bank): IPO-Window 2022 – Backup-Szenarien? A: CEO – Vorbereitung mit Goldman Sachs, Backup Private Placement / weiteres Bankenkonsortium.</w:t>
      </w:r>
    </w:p>
    <w:p>
      <w:pPr>
        <w:pStyle w:val="ListBullet"/>
      </w:pPr>
      <w:r>
        <w:t>Q3 (BlackRock): EBITDA-Marge 2025 = 15 % – treiber? A: COO – OEE +5 ppt, Materialeffizienz, BMS-12 hoehere Marge als Legacy-ICP.</w:t>
      </w:r>
    </w:p>
    <w:p>
      <w:pPr>
        <w:pStyle w:val="ListBullet"/>
      </w:pPr>
      <w:r>
        <w:t>Q4 (Allianz GI): Kapitalstruktur nach IPO? A: CFO – Net Debt 150–180 Mio., Konsortialkredit 250 Mio. ab 2022.</w:t>
      </w:r>
    </w:p>
    <w:p>
      <w:pPr>
        <w:pStyle w:val="ListBullet"/>
      </w:pPr>
      <w:r>
        <w:t>Q5 (DWS): China-Strategie? A: CEO – RCN als Vertriebshub, Co-Engineering mit lokalen OEMs, Pruefung BMS-JV.</w:t>
      </w:r>
    </w:p>
    <w:p>
      <w:pPr>
        <w:pStyle w:val="ListBullet"/>
      </w:pPr>
      <w:r>
        <w:t>Q6 (Union Investment): Dividendenpolitik post-IPO? A: CFO – Payout 35–40 % vom Konzernergebnis.</w:t>
      </w:r>
    </w:p>
    <w:p>
      <w:pPr>
        <w:pStyle w:val="ListBullet"/>
      </w:pPr>
      <w:r>
        <w:t>Q7 (UBS): Lieferanten-Diversifizierung Halbleiter? A: CTO – Dual-Sourcing-Quote 38 %, Ziel 70 % bis 2024.</w:t>
      </w:r>
    </w:p>
    <w:p>
      <w:pPr>
        <w:pStyle w:val="Heading3"/>
      </w:pPr>
      <w:r>
        <w:t>Markt- und Analystenresonanz</w:t>
      </w:r>
    </w:p>
    <w:p>
      <w:r>
        <w:t>Die Resonanz der Sell-Side war ueberwiegend positiv. Analysten von Berenberg (»Buy / TP 31,00 EUR«), Deutsche Bank (»Buy / TP 30,00«), Commerzbank (»Hold / TP 26,50«) und Hauck Aufhaeuser (»Buy / TP 32,00«) heben das BMS-12-Wachstum und die Software-Defined-Vehicle-Strategie positiv hervor. Kritisch gesehen werden die FX-Exposure und das China-Geschaeft. Konsens-TP nach Investorentag: 29,50 EUR.</w:t>
      </w:r>
    </w:p>
    <w:p>
      <w:pPr>
        <w:pStyle w:val="Heading3"/>
      </w:pPr>
      <w:r>
        <w:t>Disclosure und naechste Schritte</w:t>
      </w:r>
    </w:p>
    <w:p>
      <w:r>
        <w:t>Alle Aussagen wurden in Uebereinstimmung mit den Regelungen der MAR 596/2014 (Marktmissbrauchsverordnung) sowie der ad-hoc-Publizitaetspflichten der Brennhagen Elektronik AG getroffen. Die Praesentation wird am Folgetag auf der IR-Website publiziert. Etwaige Folgegespraeche mit Analysten / Investoren laufen ueber die IR-Abteilung. Naechster IR-Termin: Quartalsbericht (Halbjahresfinanzbericht).</w:t>
      </w:r>
    </w:p>
    <w:p>
      <w:pPr>
        <w:pStyle w:val="Heading3"/>
      </w:pPr>
      <w:r>
        <w:t>Freigabe</w:t>
      </w:r>
    </w:p>
    <w:p>
      <w:r>
        <w:t>Ort, Datum: Frankfurt am Main (Vor-IPO), den 22. September 2021</w:t>
      </w:r>
    </w:p>
    <w:p>
      <w:r>
        <w:t>_________________________            _________________________</w:t>
        <w:br/>
        <w:t>Anna Mueller                          Laura Bauer</w:t>
        <w:br/>
        <w:t>CEO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