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Investorentag 2022 – Q&amp;A-Protokoll</w:t>
      </w:r>
    </w:p>
    <w:p>
      <w:pPr>
        <w:jc w:val="center"/>
      </w:pPr>
      <w:r>
        <w:t>Capital Markets Day 2022, Frankfurt am Main (Post-IPO); Vertraulich – Investor-Relations</w:t>
      </w:r>
    </w:p>
    <w:p/>
    <w:p>
      <w:pPr>
        <w:pStyle w:val="Heading3"/>
      </w:pPr>
      <w:r>
        <w:t>Veranstaltungsdaten</w:t>
      </w:r>
    </w:p>
    <w:p>
      <w:r>
        <w:t>Datum: 15. September 2022. Ort: Frankfurt am Main (Post-IPO). Teilnehmer Brennhagen Elektronik AG: CEO Anna Mueller, CFO Laura Bauer, COO Dr. Thomas Weber, CTO Stefan Hoffmann. Moderation: Head of Investor Relations (Dr. Susanne Lehmann). Teilnehmer-Investoren: rund 65 institutionelle Investoren (Sell-Side + Buy-Side), darunter Deka, DWS, Union, Allianz GI, BlackRock, Fidelity, Capital Group, UBS, Berenberg, Goldman Sachs. Format: Hybrid (Praesenz + Webcast).</w:t>
      </w:r>
    </w:p>
    <w:p>
      <w:pPr>
        <w:pStyle w:val="Heading3"/>
      </w:pPr>
      <w:r>
        <w:t>Kernthemen / Agenda</w:t>
      </w:r>
    </w:p>
    <w:p>
      <w:pPr>
        <w:pStyle w:val="ListBullet"/>
      </w:pPr>
      <w:r>
        <w:t>Erstes Halbjahr Post-IPO – Performance Review</w:t>
      </w:r>
    </w:p>
    <w:p>
      <w:pPr>
        <w:pStyle w:val="ListBullet"/>
      </w:pPr>
      <w:r>
        <w:t>BMS-12 Hochlauf Heilbronn (Lead-Kunde VW ID.7)</w:t>
      </w:r>
    </w:p>
    <w:p>
      <w:pPr>
        <w:pStyle w:val="ListBullet"/>
      </w:pPr>
      <w:r>
        <w:t>ADAS-V4D Engineering-Sample-Lieferungen Mercedes-Benz</w:t>
      </w:r>
    </w:p>
    <w:p>
      <w:pPr>
        <w:pStyle w:val="ListBullet"/>
      </w:pPr>
      <w:r>
        <w:t>Akquisitionen / M&amp;A-Pipeline (Goldman Sachs Mandat)</w:t>
      </w:r>
    </w:p>
    <w:p>
      <w:pPr>
        <w:pStyle w:val="ListBullet"/>
      </w:pPr>
      <w:r>
        <w:t>Capital Markets Day 2023 – Outlook</w:t>
      </w:r>
    </w:p>
    <w:p>
      <w:pPr>
        <w:pStyle w:val="Heading3"/>
      </w:pPr>
      <w:r>
        <w:t>Frage- und Antwortrunde</w:t>
      </w:r>
    </w:p>
    <w:p>
      <w:pPr>
        <w:pStyle w:val="ListBullet"/>
      </w:pPr>
      <w:r>
        <w:t>Q1 (Berenberg): IPO-Verwendung Erloes 612 Mio.? A: CFO – ca. 280 Mio. Capex, 180 Mio. Schuldenabbau, 100 Mio. M&amp;A-Reserve, 50 Mio. R&amp;D-Akzeleration.</w:t>
      </w:r>
    </w:p>
    <w:p>
      <w:pPr>
        <w:pStyle w:val="ListBullet"/>
      </w:pPr>
      <w:r>
        <w:t>Q2 (Goldman Sachs): M&amp;A-Pipeline aktiv? A: CEO – Sondierungen in Software / ADAS-Sensorik (Pre-NDA-Phase mit 4 Targets).</w:t>
      </w:r>
    </w:p>
    <w:p>
      <w:pPr>
        <w:pStyle w:val="ListBullet"/>
      </w:pPr>
      <w:r>
        <w:t>Q3 (Fidelity): EBITDA-Guidance 2022? A: CFO – 73 Mio. EBITDA bestaetigt, Upside aus BMS-12-Volumen.</w:t>
      </w:r>
    </w:p>
    <w:p>
      <w:pPr>
        <w:pStyle w:val="ListBullet"/>
      </w:pPr>
      <w:r>
        <w:t>Q4 (DWS): UNECE R155 / R156 Compliance? A: CTO – ISO 21434 in Umsetzung, TARA fuer ICP-3 und ADAS-V4D bis Q1/2024.</w:t>
      </w:r>
    </w:p>
    <w:p>
      <w:pPr>
        <w:pStyle w:val="ListBullet"/>
      </w:pPr>
      <w:r>
        <w:t>Q5 (Capital Group): Aktionaersstruktur post-IPO? A: IR – Brennhagen-Familie 38 %, Streubesitz 58 %, Treasury 4 %.</w:t>
      </w:r>
    </w:p>
    <w:p>
      <w:pPr>
        <w:pStyle w:val="ListBullet"/>
      </w:pPr>
      <w:r>
        <w:t>Q6 (Commerzbank): Margenpfad 2025 – Trigger? A: COO – OEE Hochlauf, Mix-Shift BMS-12, FX-Stabilisierung.</w:t>
      </w:r>
    </w:p>
    <w:p>
      <w:pPr>
        <w:pStyle w:val="ListBullet"/>
      </w:pPr>
      <w:r>
        <w:t>Q7 (Hauck Aufhaeuser): ESG-Reporting Roadmap? A: CFO – CSRD Berichtspflicht GJ 2024, Heubeck als Aktuar bestellt.</w:t>
      </w:r>
    </w:p>
    <w:p>
      <w:pPr>
        <w:pStyle w:val="Heading3"/>
      </w:pPr>
      <w:r>
        <w:t>Markt- und Analystenresonanz</w:t>
      </w:r>
    </w:p>
    <w:p>
      <w:r>
        <w:t>Die Resonanz der Sell-Side war ueberwiegend positiv. Analysten von Berenberg (»Buy / TP 31,00 EUR«), Deutsche Bank (»Buy / TP 30,00«), Commerzbank (»Hold / TP 26,50«) und Hauck Aufhaeuser (»Buy / TP 32,00«) heben das BMS-12-Wachstum und die Software-Defined-Vehicle-Strategie positiv hervor. Kritisch gesehen werden die FX-Exposure und das China-Geschaeft. Konsens-TP nach Investorentag: 29,50 EUR.</w:t>
      </w:r>
    </w:p>
    <w:p>
      <w:pPr>
        <w:pStyle w:val="Heading3"/>
      </w:pPr>
      <w:r>
        <w:t>Disclosure und naechste Schritte</w:t>
      </w:r>
    </w:p>
    <w:p>
      <w:r>
        <w:t>Alle Aussagen wurden in Uebereinstimmung mit den Regelungen der MAR 596/2014 (Marktmissbrauchsverordnung) sowie der ad-hoc-Publizitaetspflichten der Brennhagen Elektronik AG getroffen. Die Praesentation wird am Folgetag auf der IR-Website publiziert. Etwaige Folgegespraeche mit Analysten / Investoren laufen ueber die IR-Abteilung. Naechster IR-Termin: Quartalsbericht (Halbjahresfinanzbericht).</w:t>
      </w:r>
    </w:p>
    <w:p>
      <w:pPr>
        <w:pStyle w:val="Heading3"/>
      </w:pPr>
      <w:r>
        <w:t>Freigabe</w:t>
      </w:r>
    </w:p>
    <w:p>
      <w:r>
        <w:t>Ort, Datum: Frankfurt am Main (Post-IPO), den 15. September 2022</w:t>
      </w:r>
    </w:p>
    <w:p>
      <w:r>
        <w:t>_________________________            _________________________</w:t>
        <w:br/>
        <w:t>Anna Mueller                          Laura Bauer</w:t>
        <w:br/>
        <w:t>CEO                          CFO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