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Investorentag 2023 – Q&amp;A-Protokoll</w:t>
      </w:r>
    </w:p>
    <w:p>
      <w:pPr>
        <w:jc w:val="center"/>
      </w:pPr>
      <w:r>
        <w:t>Capital Markets Day 2023, Frankfurt am Main; Vertraulich – Investor-Relations</w:t>
      </w:r>
    </w:p>
    <w:p/>
    <w:p>
      <w:pPr>
        <w:pStyle w:val="Heading3"/>
      </w:pPr>
      <w:r>
        <w:t>Veranstaltungsdaten</w:t>
      </w:r>
    </w:p>
    <w:p>
      <w:r>
        <w:t>Datum: 15. September 2023. Ort: Frankfurt am Main. Teilnehmer Brennhagen Elektronik AG: CEO Anna Mueller, CFO Laura Bauer, COO Dr. Thomas Weber, CTO Stefan Hoffmann. Moderation: Head of Investor Relations (Dr. Susanne Lehmann). Teilnehmer-Investoren: rund 65 institutionelle Investoren (Sell-Side + Buy-Side), darunter Deka, DWS, Union, Allianz GI, BlackRock, Fidelity, Capital Group, UBS, Berenberg, Goldman Sachs. Format: Hybrid (Praesenz + Webcast).</w:t>
      </w:r>
    </w:p>
    <w:p>
      <w:pPr>
        <w:pStyle w:val="Heading3"/>
      </w:pPr>
      <w:r>
        <w:t>Kernthemen / Agenda</w:t>
      </w:r>
    </w:p>
    <w:p>
      <w:pPr>
        <w:pStyle w:val="ListBullet"/>
      </w:pPr>
      <w:r>
        <w:t>NEXT 2026 – Strategiepapier 2023 Vorstellung</w:t>
      </w:r>
    </w:p>
    <w:p>
      <w:pPr>
        <w:pStyle w:val="ListBullet"/>
      </w:pPr>
      <w:r>
        <w:t>Drei Saeulen: BEV/BMS, ADAS L2-3, Software-as-a-Service</w:t>
      </w:r>
    </w:p>
    <w:p>
      <w:pPr>
        <w:pStyle w:val="ListBullet"/>
      </w:pPr>
      <w:r>
        <w:t>Mittelfristplanung 2024–2028 (Umsatz 1,0 Mrd. EUR Ziel)</w:t>
      </w:r>
    </w:p>
    <w:p>
      <w:pPr>
        <w:pStyle w:val="ListBullet"/>
      </w:pPr>
      <w:r>
        <w:t>ESG / CSRD-Roadmap fuer Berichtspflicht GJ 2024</w:t>
      </w:r>
    </w:p>
    <w:p>
      <w:pPr>
        <w:pStyle w:val="ListBullet"/>
      </w:pPr>
      <w:r>
        <w:t>Vorstandsergaenzung CRO Asia (Dr. Tanaka) ab 1.4.2024</w:t>
      </w:r>
    </w:p>
    <w:p>
      <w:pPr>
        <w:pStyle w:val="Heading3"/>
      </w:pPr>
      <w:r>
        <w:t>Frage- und Antwortrunde</w:t>
      </w:r>
    </w:p>
    <w:p>
      <w:pPr>
        <w:pStyle w:val="ListBullet"/>
      </w:pPr>
      <w:r>
        <w:t>Q1 (Berenberg): Software-as-a-Service ARR-Pfad bis 2028? A: CEO/CTO – ARR-Ziel 35 Mio. EUR, Cross-Sell ECU-900 + ICP-3 + ADAS-V4D.</w:t>
      </w:r>
    </w:p>
    <w:p>
      <w:pPr>
        <w:pStyle w:val="ListBullet"/>
      </w:pPr>
      <w:r>
        <w:t>Q2 (Deutsche Bank): Stress-Szenario BEV-Foerderungs-Wegfall? A: CFO – Downside Umsatz 2026 -8 %, Capex-Steuerung mit Trigger-Mechanismus.</w:t>
      </w:r>
    </w:p>
    <w:p>
      <w:pPr>
        <w:pStyle w:val="ListBullet"/>
      </w:pPr>
      <w:r>
        <w:t>Q3 (BlackRock): CTO-Nachfolge (Hoffmann verlaesst 30.6.2024)? A: CEO – Dr. Petra Hollmann (Continental) ab 1.7.2024.</w:t>
      </w:r>
    </w:p>
    <w:p>
      <w:pPr>
        <w:pStyle w:val="ListBullet"/>
      </w:pPr>
      <w:r>
        <w:t>Q4 (Allianz GI): Capital Allocation Framework? A: CFO – Capex / Dividende / M&amp;A klar priorisiert, siehe REA_Capital_Allocation_Framework_2023.</w:t>
      </w:r>
    </w:p>
    <w:p>
      <w:pPr>
        <w:pStyle w:val="ListBullet"/>
      </w:pPr>
      <w:r>
        <w:t>Q5 (DWS): China-Geopolitik / Decoupling-Risiko? A: CRO Asia (Tanaka, ab 1.4.2024) – RCN-Strategy-Review Q4/2024 mit lokalem Partnerschaftsmodell.</w:t>
      </w:r>
    </w:p>
    <w:p>
      <w:pPr>
        <w:pStyle w:val="ListBullet"/>
      </w:pPr>
      <w:r>
        <w:t>Q6 (Union Investment): Refinanzierung Konsortialkredit 2027? A: Treasurer (Pflanzer) – Markt-Sondierung 2025, Sustainability-linked Loan Erweiterung geplant.</w:t>
      </w:r>
    </w:p>
    <w:p>
      <w:pPr>
        <w:pStyle w:val="ListBullet"/>
      </w:pPr>
      <w:r>
        <w:t>Q7 (UBS): Dividende 2024 – Wachstum? A: CFO – Anhebung auf 2,10 EUR/Aktie vorgeschlagen (vorbehaltlich AR/HV-Beschluss).</w:t>
      </w:r>
    </w:p>
    <w:p>
      <w:pPr>
        <w:pStyle w:val="Heading3"/>
      </w:pPr>
      <w:r>
        <w:t>Markt- und Analystenresonanz</w:t>
      </w:r>
    </w:p>
    <w:p>
      <w:r>
        <w:t>Die Resonanz der Sell-Side war ueberwiegend positiv. Analysten von Berenberg (»Buy / TP 31,00 EUR«), Deutsche Bank (»Buy / TP 30,00«), Commerzbank (»Hold / TP 26,50«) und Hauck Aufhaeuser (»Buy / TP 32,00«) heben das BMS-12-Wachstum und die Software-Defined-Vehicle-Strategie positiv hervor. Kritisch gesehen werden die FX-Exposure und das China-Geschaeft. Konsens-TP nach Investorentag: 29,50 EUR.</w:t>
      </w:r>
    </w:p>
    <w:p>
      <w:pPr>
        <w:pStyle w:val="Heading3"/>
      </w:pPr>
      <w:r>
        <w:t>Disclosure und naechste Schritte</w:t>
      </w:r>
    </w:p>
    <w:p>
      <w:r>
        <w:t>Alle Aussagen wurden in Uebereinstimmung mit den Regelungen der MAR 596/2014 (Marktmissbrauchsverordnung) sowie der ad-hoc-Publizitaetspflichten der Brennhagen Elektronik AG getroffen. Die Praesentation wird am Folgetag auf der IR-Website publiziert. Etwaige Folgegespraeche mit Analysten / Investoren laufen ueber die IR-Abteilung. Naechster IR-Termin: Quartalsbericht (Halbjahresfinanzbericht).</w:t>
      </w:r>
    </w:p>
    <w:p>
      <w:pPr>
        <w:pStyle w:val="Heading3"/>
      </w:pPr>
      <w:r>
        <w:t>Freigabe</w:t>
      </w:r>
    </w:p>
    <w:p>
      <w:r>
        <w:t>Ort, Datum: Frankfurt am Main, den 15. September 2023</w:t>
      </w:r>
    </w:p>
    <w:p>
      <w:r>
        <w:t>_________________________            _________________________</w:t>
        <w:br/>
        <w:t>Anna Mueller                          Laura Bauer</w:t>
        <w:br/>
        <w:t>CEO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