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Qualitaetssicherungsvereinbarung Mercedes-Benz Group AG / Brennhagen 2022</w:t>
      </w:r>
    </w:p>
    <w:p>
      <w:pPr>
        <w:jc w:val="center"/>
      </w:pPr>
      <w:r>
        <w:t>MBZ – Quality Assurance Agreement (QAA) – Vertraulich</w:t>
      </w:r>
    </w:p>
    <w:p/>
    <w:p>
      <w:pPr>
        <w:pStyle w:val="Heading3"/>
      </w:pPr>
      <w:r>
        <w:t>Vertragsparteien und Geltungsbereich</w:t>
      </w:r>
    </w:p>
    <w:p>
      <w:r>
        <w:t>Diese Qualitaetssicherungsvereinbarung (QSV) wird abgeschlossen zwischen der Mercedes-Benz Group AG, Mercedesstrasse 120, 70372 Stuttgart (»MBZ«), und der Brennhagen Elektronik AG, Vaihinger Strasse 120, 70567 Stuttgart (»REA«) bzw. den konzernverbundenen Lieferanten REG (Heilbronn) und RSG (Muenchen). Sie gilt fuer alle Lieferungen der Produkte ADAS-V4D, ICP-3, BMS-12 (Mercedes-Benz EQS / MMA) sowie ECU-900 (Mercedes-Benz NCV Vito-Familie).</w:t>
      </w:r>
    </w:p>
    <w:p>
      <w:pPr>
        <w:pStyle w:val="Heading3"/>
      </w:pPr>
      <w:r>
        <w:t>Qualitaetsanforderungen</w:t>
      </w:r>
    </w:p>
    <w:p>
      <w:pPr>
        <w:pStyle w:val="ListBullet"/>
      </w:pPr>
      <w:r>
        <w:t>Lieferqualitaet: ppm-Ziel &lt;= 25 ppm rollierender 12-Monats-Schnitt.</w:t>
      </w:r>
    </w:p>
    <w:p>
      <w:pPr>
        <w:pStyle w:val="ListBullet"/>
      </w:pPr>
      <w:r>
        <w:t>OTD (On-Time-Delivery): &gt;= 99,5 %.</w:t>
      </w:r>
    </w:p>
    <w:p>
      <w:pPr>
        <w:pStyle w:val="ListBullet"/>
      </w:pPr>
      <w:r>
        <w:t>Erstmusterpruefung gemaess MBN 10448 / VDA Band 2 (PPAP-aequivalent).</w:t>
      </w:r>
    </w:p>
    <w:p>
      <w:pPr>
        <w:pStyle w:val="ListBullet"/>
      </w:pPr>
      <w:r>
        <w:t>Prozessfaehigkeit: Cpk &gt;= 1,67 fuer kritische Merkmale.</w:t>
      </w:r>
    </w:p>
    <w:p>
      <w:pPr>
        <w:pStyle w:val="ListBullet"/>
      </w:pPr>
      <w:r>
        <w:t>Audit-Recht MBZ jaehrlich (mit 4 Wochen Frist).</w:t>
      </w:r>
    </w:p>
    <w:p>
      <w:pPr>
        <w:pStyle w:val="ListBullet"/>
      </w:pPr>
      <w:r>
        <w:t>TISAX Level 2 / 3 Pflicht in Prototypen-Werken.</w:t>
      </w:r>
    </w:p>
    <w:p>
      <w:pPr>
        <w:pStyle w:val="ListBullet"/>
      </w:pPr>
      <w:r>
        <w:t>Cybersecurity gem. ISO 21434 fuer relevante Steuergeraete.</w:t>
      </w:r>
    </w:p>
    <w:p>
      <w:pPr>
        <w:pStyle w:val="Heading3"/>
      </w:pPr>
      <w:r>
        <w:t>Reklamation und 8D-Prozess</w:t>
      </w:r>
    </w:p>
    <w:p>
      <w:r>
        <w:t>REA verpflichtet sich zur Bearbeitung von Reklamationen nach VDA-Standard 8D. Erstantwort 24h, Containment 48h, Root-Cause-Analyse 10 Werktage, finaler 8D-Report 20 Werktage. Eskalationsstufen: Lieferant-QM (Sabine Brand, REG) → Werkleitung → Group Quality → CTO (Stefan Hoffmann). MBZ-seitige Eskalation: SQM-Kontakt → Bereichsleitung Qualitaet → Mercedes-Benz Cars.</w:t>
      </w:r>
    </w:p>
    <w:p>
      <w:pPr>
        <w:pStyle w:val="Heading3"/>
      </w:pPr>
      <w:r>
        <w:t>Pflichten und Haftung</w:t>
      </w:r>
    </w:p>
    <w:p>
      <w:pPr>
        <w:pStyle w:val="ListBullet"/>
      </w:pPr>
      <w:r>
        <w:t>Rueckruf-Beteiligung gem. Produkthaftungsgesetz §§ 1 ff. ProdHaftG.</w:t>
      </w:r>
    </w:p>
    <w:p>
      <w:pPr>
        <w:pStyle w:val="ListBullet"/>
      </w:pPr>
      <w:r>
        <w:t>D&amp;O-Versicherungspflicht (Allianz GCS, 50 Mio. EUR Versicherungssumme).</w:t>
      </w:r>
    </w:p>
    <w:p>
      <w:pPr>
        <w:pStyle w:val="ListBullet"/>
      </w:pPr>
      <w:r>
        <w:t>Lieferanten-Selbstaudit jaehrlich, MBZ-Audit nach Bedarf.</w:t>
      </w:r>
    </w:p>
    <w:p>
      <w:pPr>
        <w:pStyle w:val="ListBullet"/>
      </w:pPr>
      <w:r>
        <w:t>Konsignations-/Sicherheitsbestaende gem. separater Logistikvereinbarung.</w:t>
      </w:r>
    </w:p>
    <w:p>
      <w:pPr>
        <w:pStyle w:val="ListBullet"/>
      </w:pPr>
      <w:r>
        <w:t>Geheimhaltung gem. separatem NDA.</w:t>
      </w:r>
    </w:p>
    <w:p>
      <w:pPr>
        <w:pStyle w:val="Heading3"/>
      </w:pPr>
      <w:r>
        <w:t>Laufzeit und Aenderungen</w:t>
      </w:r>
    </w:p>
    <w:p>
      <w:r>
        <w:t>Laufzeit: 1. Januar 2022 bis 31. Dezember 2027 (5 Jahre). Verlaengerung um jeweils 12 Monate bei beidseitiger Bestaetigung. Aenderungen beduerfen der Schriftform. Anwendbares Recht: deutsches Recht ohne UN-Kaufrecht. Gerichtsstand: Stuttgart.</w:t>
      </w:r>
    </w:p>
    <w:p>
      <w:pPr>
        <w:pStyle w:val="Heading3"/>
      </w:pPr>
      <w:r>
        <w:t>Unterschriften</w:t>
      </w:r>
    </w:p>
    <w:p>
      <w:r>
        <w:t>Ort, Datum: Stuttgart, den 14. Januar 2022</w:t>
      </w:r>
    </w:p>
    <w:p>
      <w:r>
        <w:t>_________________________            _________________________</w:t>
        <w:br/>
        <w:t>Stefan Hoffmann                          [MBZ Procurement Lead]</w:t>
        <w:br/>
        <w:t>CTO                          Vice President SQM</w:t>
        <w:br/>
        <w:t>Brennhagen Elektronik AG                       Mercedes-Benz Group AG</w:t>
      </w:r>
    </w:p>
    <w:p>
      <w:pPr>
        <w:pStyle w:val="Heading3"/>
      </w:pPr>
      <w:r>
        <w:t>Versionierung und Verteiler</w:t>
      </w:r>
    </w:p>
    <w:p>
      <w:r>
        <w:t>Version 1.0 / Stand 14. Januar 2022. Verteiler: Vorstand der Brennhagen Elektronik AG, Aufsichtsrats-Vorsitz (Dr. Klaus Steinbrueck), Pruefungsausschuss-Vorsitz (Prof. Dr.-Ing. Gerhard Voss), Group Compliance Office, Schriftfuehrerin Dr. Veronika Steiner.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