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Marktanalyse China-Automobilmarkt 2023</w:t>
      </w:r>
    </w:p>
    <w:p>
      <w:pPr>
        <w:jc w:val="center"/>
      </w:pPr>
      <w:r>
        <w:t>Vertraulich – RCN Shanghai / Strategie Asien – Vorlage CRO Asia (Dr. Tanaka)</w:t>
      </w:r>
    </w:p>
    <w:p/>
    <w:p>
      <w:pPr>
        <w:pStyle w:val="Heading3"/>
      </w:pPr>
      <w:r>
        <w:t>Anlass und Methodik</w:t>
      </w:r>
    </w:p>
    <w:p>
      <w:r>
        <w:t>Der chinesische Automobilmarkt 2023 ist gepraegt durch Konsolidierung (BYD, Geely, Chery), schnelle BEV-Penetration (33 % NEV-Anteil) und massive lokale Software-Investitionen (Huawei, Xiaomi, NIO Banyan, Li Auto). Auslaendische OEMs (VW, BMW, Mercedes-Benz) verlieren Marktanteile im Premium-NEV-Segment. RCN Shanghai (320 MA) fokussiert auf Vertrieb an lokale Plattformen und VW China.</w:t>
      </w:r>
    </w:p>
    <w:p>
      <w:r>
        <w:t>Methodisch wird ein Szenario-Ansatz mit drei Pfaden gewaehlt (Base / Upside / Downside) auf Basis der Quellen S&amp;P Global Mobility, IHS Markit, VDA Bilanzpressekonferenz 2023, McKinsey Automotive Outlook 2023 sowie eigener Auswertungen der OEM-Forecasts. Die Aggregation erfolgt durch das Strategieteam (Strategy &amp; Corporate Development) unter Begleitung von Roland Berger.</w:t>
      </w:r>
    </w:p>
    <w:p>
      <w:pPr>
        <w:pStyle w:val="Heading3"/>
      </w:pPr>
      <w:r>
        <w:t>Marktdaten / Volumina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Segment</w:t>
            </w:r>
          </w:p>
        </w:tc>
        <w:tc>
          <w:tcPr>
            <w:tcW w:type="dxa" w:w="1728"/>
          </w:tcPr>
          <w:p>
            <w:r>
              <w:t>2022 Volumen Mio.</w:t>
            </w:r>
          </w:p>
        </w:tc>
        <w:tc>
          <w:tcPr>
            <w:tcW w:type="dxa" w:w="1728"/>
          </w:tcPr>
          <w:p>
            <w:r>
              <w:t>2023 Schaetzung</w:t>
            </w:r>
          </w:p>
        </w:tc>
        <w:tc>
          <w:tcPr>
            <w:tcW w:type="dxa" w:w="1728"/>
          </w:tcPr>
          <w:p>
            <w:r>
              <w:t>2026 Base Mio.</w:t>
            </w:r>
          </w:p>
        </w:tc>
        <w:tc>
          <w:tcPr>
            <w:tcW w:type="dxa" w:w="1728"/>
          </w:tcPr>
          <w:p>
            <w:r>
              <w:t>Wachstum %</w:t>
            </w:r>
          </w:p>
        </w:tc>
      </w:tr>
      <w:tr>
        <w:tc>
          <w:tcPr>
            <w:tcW w:type="dxa" w:w="1728"/>
          </w:tcPr>
          <w:p>
            <w:r>
              <w:t>NEV gesamt</w:t>
            </w:r>
          </w:p>
        </w:tc>
        <w:tc>
          <w:tcPr>
            <w:tcW w:type="dxa" w:w="1728"/>
          </w:tcPr>
          <w:p>
            <w:r>
              <w:t>6,9</w:t>
            </w:r>
          </w:p>
        </w:tc>
        <w:tc>
          <w:tcPr>
            <w:tcW w:type="dxa" w:w="1728"/>
          </w:tcPr>
          <w:p>
            <w:r>
              <w:t>9,5</w:t>
            </w:r>
          </w:p>
        </w:tc>
        <w:tc>
          <w:tcPr>
            <w:tcW w:type="dxa" w:w="1728"/>
          </w:tcPr>
          <w:p>
            <w:r>
              <w:t>16,2</w:t>
            </w:r>
          </w:p>
        </w:tc>
        <w:tc>
          <w:tcPr>
            <w:tcW w:type="dxa" w:w="1728"/>
          </w:tcPr>
          <w:p>
            <w:r>
              <w:t>70 %</w:t>
            </w:r>
          </w:p>
        </w:tc>
      </w:tr>
      <w:tr>
        <w:tc>
          <w:tcPr>
            <w:tcW w:type="dxa" w:w="1728"/>
          </w:tcPr>
          <w:p>
            <w:r>
              <w:t>ICE</w:t>
            </w:r>
          </w:p>
        </w:tc>
        <w:tc>
          <w:tcPr>
            <w:tcW w:type="dxa" w:w="1728"/>
          </w:tcPr>
          <w:p>
            <w:r>
              <w:t>16,1</w:t>
            </w:r>
          </w:p>
        </w:tc>
        <w:tc>
          <w:tcPr>
            <w:tcW w:type="dxa" w:w="1728"/>
          </w:tcPr>
          <w:p>
            <w:r>
              <w:t>14,2</w:t>
            </w:r>
          </w:p>
        </w:tc>
        <w:tc>
          <w:tcPr>
            <w:tcW w:type="dxa" w:w="1728"/>
          </w:tcPr>
          <w:p>
            <w:r>
              <w:t>11,5</w:t>
            </w:r>
          </w:p>
        </w:tc>
        <w:tc>
          <w:tcPr>
            <w:tcW w:type="dxa" w:w="1728"/>
          </w:tcPr>
          <w:p>
            <w:r>
              <w:t>-19 %</w:t>
            </w:r>
          </w:p>
        </w:tc>
      </w:tr>
      <w:tr>
        <w:tc>
          <w:tcPr>
            <w:tcW w:type="dxa" w:w="1728"/>
          </w:tcPr>
          <w:p>
            <w:r>
              <w:t>Premium NEV</w:t>
            </w:r>
          </w:p>
        </w:tc>
        <w:tc>
          <w:tcPr>
            <w:tcW w:type="dxa" w:w="1728"/>
          </w:tcPr>
          <w:p>
            <w:r>
              <w:t>1,2</w:t>
            </w:r>
          </w:p>
        </w:tc>
        <w:tc>
          <w:tcPr>
            <w:tcW w:type="dxa" w:w="1728"/>
          </w:tcPr>
          <w:p>
            <w:r>
              <w:t>1,8</w:t>
            </w:r>
          </w:p>
        </w:tc>
        <w:tc>
          <w:tcPr>
            <w:tcW w:type="dxa" w:w="1728"/>
          </w:tcPr>
          <w:p>
            <w:r>
              <w:t>3,5</w:t>
            </w:r>
          </w:p>
        </w:tc>
        <w:tc>
          <w:tcPr>
            <w:tcW w:type="dxa" w:w="1728"/>
          </w:tcPr>
          <w:p>
            <w:r>
              <w:t>94 %</w:t>
            </w:r>
          </w:p>
        </w:tc>
      </w:tr>
    </w:tbl>
    <w:p>
      <w:pPr>
        <w:pStyle w:val="Heading3"/>
      </w:pPr>
      <w:r>
        <w:t>Szenario-Beschreibung</w:t>
      </w:r>
    </w:p>
    <w:p>
      <w:pPr>
        <w:pStyle w:val="ListBullet"/>
      </w:pPr>
      <w:r>
        <w:t>Base: RCN-Umsatz 2026 = 95 Mio. EUR (CAGR 18 %); Lokalisierungspfad mit CATL.</w:t>
      </w:r>
    </w:p>
    <w:p>
      <w:pPr>
        <w:pStyle w:val="ListBullet"/>
      </w:pPr>
      <w:r>
        <w:t>Upside: Joint Venture mit CATL fuer lokale BMS-Fertigung (Volumen +40 %).</w:t>
      </w:r>
    </w:p>
    <w:p>
      <w:pPr>
        <w:pStyle w:val="ListBullet"/>
      </w:pPr>
      <w:r>
        <w:t>Downside: Geopolitisches Decoupling, Exportkontrollen, Markt-Exit DE-OEMs.</w:t>
      </w:r>
    </w:p>
    <w:p>
      <w:pPr>
        <w:pStyle w:val="Heading3"/>
      </w:pPr>
      <w:r>
        <w:t>Implikationen fuer Brennhagen</w:t>
      </w:r>
    </w:p>
    <w:p>
      <w:r>
        <w:t>Die China-Strategie erfordert Entscheidungen: (a) Vertiefung Lokalisierung (Capex-Bedarf), (b) Joint-Venture-Pruefung mit CATL, (c) Decoupling-Stress-Szenario (Rueckzug auf Hong-Kong-Hub). Vorstand CRO Asia (Dr. Tanaka) wird ab 1.4.2024 zustaendig. Strategy-Review Q4/2024 geplant.</w:t>
      </w:r>
    </w:p>
    <w:p>
      <w:pPr>
        <w:pStyle w:val="Heading3"/>
      </w:pPr>
      <w:r>
        <w:t>Empfohlene strategische Antworten</w:t>
      </w:r>
    </w:p>
    <w:p>
      <w:pPr>
        <w:pStyle w:val="ListBullet"/>
      </w:pPr>
      <w:r>
        <w:t>Capex-Planung an Base-Case ausrichten, Trigger fuer Upside-Anpassung definieren.</w:t>
      </w:r>
    </w:p>
    <w:p>
      <w:pPr>
        <w:pStyle w:val="ListBullet"/>
      </w:pPr>
      <w:r>
        <w:t>Lieferanten-Diversifizierung (Halbleiter) konsequent fortsetzen (siehe Memo Lieferantendiversifizierung).</w:t>
      </w:r>
    </w:p>
    <w:p>
      <w:pPr>
        <w:pStyle w:val="ListBullet"/>
      </w:pPr>
      <w:r>
        <w:t>OEM-Forecast-Hygiene mit BMW, Mercedes-Benz, VW, Stellantis quartalsweise abgleichen.</w:t>
      </w:r>
    </w:p>
    <w:p>
      <w:pPr>
        <w:pStyle w:val="ListBullet"/>
      </w:pPr>
      <w:r>
        <w:t>China-Strategie (RCN Shanghai) angepasst an lokales BEV-Wachstumstempo.</w:t>
      </w:r>
    </w:p>
    <w:p>
      <w:pPr>
        <w:pStyle w:val="ListBullet"/>
      </w:pPr>
      <w:r>
        <w:t>Stressszenario in MFP einarbeiten und an Aufsichtsrat Pruefungsausschuss reporten.</w:t>
      </w:r>
    </w:p>
    <w:p>
      <w:pPr>
        <w:pStyle w:val="Heading3"/>
      </w:pPr>
      <w:r>
        <w:t>Versionierung</w:t>
      </w:r>
    </w:p>
    <w:p>
      <w:r>
        <w:t>Version 1.0 / Stand 15. September 2023. Naechste Revision: 31. Maerz 2024. Verteiler: Vorstand, Strategieausschuss, Aufsichtsrat (Pruefungsausschuss).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