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r>
        <w:rPr>
          <w:b/>
          <w:color w:val="CC0000"/>
        </w:rPr>
        <w:t>*** ENTWURF / DRAFT – NICHT ZUR WEITERGABE ***</w:t>
      </w:r>
    </w:p>
    <w:p>
      <w:pPr>
        <w:pStyle w:val="Heading1"/>
      </w:pPr>
      <w:r>
        <w:t>Brennhagen Elektronik AG</w:t>
      </w:r>
    </w:p>
    <w:p>
      <w:r>
        <w:rPr>
          <w:sz w:val="18"/>
        </w:rPr>
        <w:t>Vaihinger Straße 120, 70567 Stuttgart  |  HRB 726451, Amtsgericht Stuttgart</w:t>
      </w:r>
    </w:p>
    <w:p>
      <w:r>
        <w:t>────────────────────────────────────────────────────────────────────────────────</w:t>
      </w:r>
    </w:p>
    <w:p>
      <w:pPr>
        <w:pStyle w:val="Heading2"/>
      </w:pPr>
      <w:r>
        <w:t>Strategie-Memo: Acquisition Target Analyse 2024</w:t>
      </w:r>
    </w:p>
    <w:p>
      <w:pPr>
        <w:jc w:val="center"/>
      </w:pPr>
      <w:r>
        <w:t>Vorstandsvorlage / Strategie &amp; Business Development – 28. Februar 2024</w:t>
      </w:r>
    </w:p>
    <w:p/>
    <w:p>
      <w:pPr>
        <w:pStyle w:val="Heading3"/>
      </w:pPr>
      <w:r>
        <w:t>Anlass</w:t>
      </w:r>
    </w:p>
    <w:p>
      <w:r>
        <w:t>Im Rahmen der NEXT-2026-Strategie hat das Strategy &amp; Corporate Development Office in Abstimmung mit Goldman Sachs (Frankfurt) eine Long-List potenzieller Akquisitionsziele im Bereich ADAS-Sensorik und Embedded Software erstellt. Das Memo enthaelt die ersten Bewertungen und dient als Grundlage fuer Pre-NDA-Sondierungen.</w:t>
      </w:r>
    </w:p>
    <w:p>
      <w:r>
        <w:t>Das Memo wurde durch Stefan Richter, CMO/BD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Long-List 12 Targets, davon Short-List 4: (1) ADAS-Software-Spezialist im Raum Stuttgart (&lt;200 MA, ~30 Mio. EUR Umsatz, EBITDA-Marge ~14 %), (2) Radar-Sensorik-Anbieter (CZ, ~140 MA), (3) BMS-Software-Boutique (CN, JV-Modell), (4) AUTOSAR-Adaptive-Plattform-Anbieter (NL, ~80 MA). Bewertungsspannen: EV/EBITDA 8–14x.</w:t>
      </w:r>
    </w:p>
    <w:p>
      <w:pPr>
        <w:pStyle w:val="Heading3"/>
      </w:pPr>
      <w:r>
        <w:t>Handlungsoptionen</w:t>
      </w:r>
    </w:p>
    <w:p>
      <w:pPr>
        <w:pStyle w:val="ListBullet"/>
      </w:pPr>
      <w:r>
        <w:t>Option A: Akquisition Target #1 (ADAS-Software DE) als Bolt-on (50–80 Mio. EUR EV).</w:t>
      </w:r>
    </w:p>
    <w:p>
      <w:pPr>
        <w:pStyle w:val="ListBullet"/>
      </w:pPr>
      <w:r>
        <w:t>Option B: Minority-Investment plus Co-Engineering Target #3 (CN BMS-Software).</w:t>
      </w:r>
    </w:p>
    <w:p>
      <w:pPr>
        <w:pStyle w:val="ListBullet"/>
      </w:pPr>
      <w:r>
        <w:t>Option C: Buy-and-Build mit Target #1 als Plattform plus 2 Tuck-ins (mittelfristig).</w:t>
      </w:r>
    </w:p>
    <w:p>
      <w:pPr>
        <w:pStyle w:val="ListBullet"/>
      </w:pPr>
      <w:r>
        <w:t>Option D: Status quo (organisches Wachstum); Capex statt M&amp;A.</w:t>
      </w:r>
    </w:p>
    <w:p>
      <w:pPr>
        <w:pStyle w:val="Heading3"/>
      </w:pPr>
      <w:r>
        <w:t>Bewertung und Empfehlung</w:t>
      </w:r>
    </w:p>
    <w:p>
      <w:r>
        <w:t>Empfehlung: Option A (Bolt-on Target #1) priorisieren. Begruendung: hohe strategische Passung, geringes Integrationsrisiko (gleiche Region, kulturelle Naehe), klarer Margen-Beitrag in 24 Monaten. Pre-NDA-Phase mit Goldman Sachs starten. Beschlussvorlage an Aufsichtsrat (Pruefungsausschuss) in der naechsten Sitzung.</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28. Februar 2024</w:t>
      </w:r>
    </w:p>
    <w:p>
      <w:r>
        <w:t>_________________________            _________________________</w:t>
        <w:br/>
        <w:t>Stefan Richter                          Anna Mueller</w:t>
        <w:br/>
        <w:t>CMO/BD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