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Cybersecurity Roadmap UNECE R155 / R156</w:t>
      </w:r>
    </w:p>
    <w:p>
      <w:pPr>
        <w:jc w:val="center"/>
      </w:pPr>
      <w:r>
        <w:t>Vorstandsvorlage / Strategie &amp; Business Development – 14. Maerz 2024</w:t>
      </w:r>
    </w:p>
    <w:p/>
    <w:p>
      <w:pPr>
        <w:pStyle w:val="Heading3"/>
      </w:pPr>
      <w:r>
        <w:t>Anlass</w:t>
      </w:r>
    </w:p>
    <w:p>
      <w:r>
        <w:t>Mit Wirkung zum 1. Juli 2024 sind UNECE R155 (Cybersecurity) und R156 (Software-Updates) verpflichtend fuer alle Typ-Zulassungen in EU-Mitgliedsstaaten. Brennhagen muss als Tier-1-Zulieferer die Konformitaet fuer alle aktiven Plattformen (ICP-3, BMS-12, ADAS-V4D, ECU-900) sicherstellen. Das Memo dokumentiert den Roadmap-Stand und identifiziert Handlungsbedarf.</w:t>
      </w:r>
    </w:p>
    <w:p>
      <w:r>
        <w:t>Das Memo wurde durch Stefan Hoffmann, CTO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Status Q1/2024: ISO 21434 (Cybersecurity Engineering) in Umsetzung; TARA (Threat Analysis and Risk Assessment) fuer ICP-3 und ADAS-V4D in finaler Pruefung; CSMS (Cybersecurity Management System) durch externe Auditfirma (TUEV Sued) begleitet. OTA-Plattform (BrennhagenOS) ist R156-konform konzipiert. Kritische Luecke: Lieferantenpool – nur 64 % der Tier-2-Lieferanten haben CSMS.</w:t>
      </w:r>
    </w:p>
    <w:p>
      <w:pPr>
        <w:pStyle w:val="Heading3"/>
      </w:pPr>
      <w:r>
        <w:t>Handlungsoptionen</w:t>
      </w:r>
    </w:p>
    <w:p>
      <w:pPr>
        <w:pStyle w:val="ListBullet"/>
      </w:pPr>
      <w:r>
        <w:t>Option A: Beschleunigung Lieferanten-Audit-Programm (zusaetzlich 1,2 Mio. EUR Budget 2024).</w:t>
      </w:r>
    </w:p>
    <w:p>
      <w:pPr>
        <w:pStyle w:val="ListBullet"/>
      </w:pPr>
      <w:r>
        <w:t>Option B: Lieferanten-Konsolidierung auf zertifizierte Tier-2 (Risiko: Single-Source).</w:t>
      </w:r>
    </w:p>
    <w:p>
      <w:pPr>
        <w:pStyle w:val="ListBullet"/>
      </w:pPr>
      <w:r>
        <w:t>Option C: Inhouse-Substitution durch RSG fuer kritische Komponenten.</w:t>
      </w:r>
    </w:p>
    <w:p>
      <w:pPr>
        <w:pStyle w:val="ListBullet"/>
      </w:pPr>
      <w:r>
        <w:t>Option D: Verzoegerung Typ-Zulassung neuer Plattformen.</w:t>
      </w:r>
    </w:p>
    <w:p>
      <w:pPr>
        <w:pStyle w:val="Heading3"/>
      </w:pPr>
      <w:r>
        <w:t>Bewertung und Empfehlung</w:t>
      </w:r>
    </w:p>
    <w:p>
      <w:r>
        <w:t>Empfehlung: Kombination Option A + Option B. Beschleunigtes Audit-Programm (1,2 Mio. EUR Budget freigeben), gleichzeitig Konsolidierung auf zertifizierte Tier-2-Pool. Beschluss Vorstand: Freigabe Budget und Mandat an Group Compliance Office (in Abstimmung mit CTO).</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Maerz 2024</w:t>
      </w:r>
    </w:p>
    <w:p>
      <w:r>
        <w:t>_________________________            _________________________</w:t>
        <w:br/>
        <w:t>Stefan Hoffmann                          Anna Mueller</w:t>
        <w:br/>
        <w:t>CTO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