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Digital Manufacturing Heilbronn – Strategischer Pfad</w:t>
      </w:r>
    </w:p>
    <w:p>
      <w:pPr>
        <w:jc w:val="center"/>
      </w:pPr>
      <w:r>
        <w:t>Vorstandsvorlage / Strategie &amp; Business Development – 14. Februar 2024</w:t>
      </w:r>
    </w:p>
    <w:p/>
    <w:p>
      <w:pPr>
        <w:pStyle w:val="Heading3"/>
      </w:pPr>
      <w:r>
        <w:t>Anlass</w:t>
      </w:r>
    </w:p>
    <w:p>
      <w:r>
        <w:t>Werk Heilbronn (REG) ist das Hauptproduktionsstandort fuer BMS-12 und ICP-3. Die Digital-Manufacturing-Initiative verbindet Digital Twin, MES-Konsolidierung (SAP DMC), Predictive Maintenance und Energie-Optimierung. Strategischer Hebel: OEE +5 ppt, Energiekosten -12 %.</w:t>
      </w:r>
    </w:p>
    <w:p>
      <w:r>
        <w:t>Das Memo wurde durch Dr. Thomas Weber, COO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Status Q1/2024: Pilot Linie 4 (BMS-12-SMT) abgeschlossen, OEE +3,2 ppt nachgewiesen. Roll-out auf Linien 1–3 ab Q2/2024 geplant. Investitionsvolumen 8,5 Mio. EUR ueber 24 Monate. Integration in Group Performance Management System (GPMS) ab Q3/2024.</w:t>
      </w:r>
    </w:p>
    <w:p>
      <w:pPr>
        <w:pStyle w:val="Heading3"/>
      </w:pPr>
      <w:r>
        <w:t>Handlungsoptionen</w:t>
      </w:r>
    </w:p>
    <w:p>
      <w:pPr>
        <w:pStyle w:val="ListBullet"/>
      </w:pPr>
      <w:r>
        <w:t>Option A: Vollausbau Heilbronn 2024–2025 (Capex 8,5 Mio. EUR).</w:t>
      </w:r>
    </w:p>
    <w:p>
      <w:pPr>
        <w:pStyle w:val="ListBullet"/>
      </w:pPr>
      <w:r>
        <w:t>Option B: Phased-Approach (Capex 4,2 Mio. EUR 2024, Rest 2025/26).</w:t>
      </w:r>
    </w:p>
    <w:p>
      <w:pPr>
        <w:pStyle w:val="ListBullet"/>
      </w:pPr>
      <w:r>
        <w:t>Option C: Roll-out auch Katowice/Brno (Skaleneffekte, Capex 14 Mio. EUR Gesamt).</w:t>
      </w:r>
    </w:p>
    <w:p>
      <w:pPr>
        <w:pStyle w:val="ListBullet"/>
      </w:pPr>
      <w:r>
        <w:t>Option D: Verschiebung um 12 Monate (Capex-Schutz).</w:t>
      </w:r>
    </w:p>
    <w:p>
      <w:pPr>
        <w:pStyle w:val="Heading3"/>
      </w:pPr>
      <w:r>
        <w:t>Bewertung und Empfehlung</w:t>
      </w:r>
    </w:p>
    <w:p>
      <w:r>
        <w:t>Empfehlung: Option C (Roll-out alle EU-Werke). Skaleneffekte durch konsolidierte Software-Plattform und einheitliche KPI-Reporting. Beschluss Vorstand: Capex-Antrag 14 Mio. EUR (gestaffelt 2024/25) freigeben. Begleitung durch COO.</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Februar 2024</w:t>
      </w:r>
    </w:p>
    <w:p>
      <w:r>
        <w:t>_________________________            _________________________</w:t>
        <w:br/>
        <w:t>Dr. Thomas Weber                          Anna Mueller</w:t>
        <w:br/>
        <w:t>COO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