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Elektronik AG</w:t>
      </w:r>
    </w:p>
    <w:p>
      <w:r>
        <w:rPr>
          <w:sz w:val="18"/>
        </w:rPr>
        <w:t>Vaihinger Straße 120, 70567 Stuttgart  |  HRB 726451, Amtsgericht Stuttgart</w:t>
      </w:r>
    </w:p>
    <w:p>
      <w:r>
        <w:t>────────────────────────────────────────────────────────────────────────────────</w:t>
      </w:r>
    </w:p>
    <w:p>
      <w:pPr>
        <w:pStyle w:val="Heading2"/>
      </w:pPr>
      <w:r>
        <w:t>Strategie-Memo: EV-Wachstumsstrategie 2023–2028</w:t>
      </w:r>
    </w:p>
    <w:p>
      <w:pPr>
        <w:jc w:val="center"/>
      </w:pPr>
      <w:r>
        <w:t>Vorstandsvorlage / Strategie &amp; Business Development – 14. September 2023</w:t>
      </w:r>
    </w:p>
    <w:p/>
    <w:p>
      <w:pPr>
        <w:pStyle w:val="Heading3"/>
      </w:pPr>
      <w:r>
        <w:t>Anlass</w:t>
      </w:r>
    </w:p>
    <w:p>
      <w:r>
        <w:t>Der BEV-Hochlauf bei den OEM-Plattformen VW MEB+, Mercedes-Benz MMA, BMW Neue Klasse, Stellantis STLA und Hyundai E-GMP eroeffnet fuer Brennhagen signifikante Wachstumschancen. Das Memo skizziert den Wachstumspfad fuer BMS-12, ECU-900 und ergaenzende Module.</w:t>
      </w:r>
    </w:p>
    <w:p>
      <w:r>
        <w:t>Das Memo wurde durch Stefan Richter, CMO/BD auf Anforderung des Vorstandes (CEO Anna Mueller) erstellt und mit dem CFO (Laura Bauer) sowie dem COO (Dr. Thomas Weber) abgestimmt. Es dient als Grundlage fuer den Beschluss in der naechsten regulaeren Vorstandssitzung sowie ggf. als Vorlage an den Aufsichtsrat / Pruefungsausschuss.</w:t>
      </w:r>
    </w:p>
    <w:p>
      <w:pPr>
        <w:pStyle w:val="Heading3"/>
      </w:pPr>
      <w:r>
        <w:t>Sachverhalt / Kerninhalt</w:t>
      </w:r>
    </w:p>
    <w:p>
      <w:r>
        <w:t>BMS-12-Plattform-Hochlauf: 2024 = 2,2 Mio. Module, 2026 = 4,2 Mio., 2028 = 5,8 Mio. Capex-Bedarf Heilbronn: 12,8 Mio. EUR fuer Linien 5/6. Lead-Customer-Pipeline: VW ID.7, ID.Buzz, Hyundai Ioniq 6/7, Mercedes-Benz EQS-Lift (BMS-12.2 800V). ECU-900-Hochlauf: Volumen 2024 = 1,8 Mio., 2028 = 3,5 Mio.</w:t>
      </w:r>
    </w:p>
    <w:p>
      <w:pPr>
        <w:pStyle w:val="Heading3"/>
      </w:pPr>
      <w:r>
        <w:t>Handlungsoptionen</w:t>
      </w:r>
    </w:p>
    <w:p>
      <w:pPr>
        <w:pStyle w:val="ListBullet"/>
      </w:pPr>
      <w:r>
        <w:t>Option A: Aggressiver Capex-Pfad (15 Mio. EUR Heilbronn + 4,8 Katowice 2024–2025).</w:t>
      </w:r>
    </w:p>
    <w:p>
      <w:pPr>
        <w:pStyle w:val="ListBullet"/>
      </w:pPr>
      <w:r>
        <w:t>Option B: Konservativer Pfad mit Trigger-Mechanismus an OEM-Forecasts.</w:t>
      </w:r>
    </w:p>
    <w:p>
      <w:pPr>
        <w:pStyle w:val="ListBullet"/>
      </w:pPr>
      <w:r>
        <w:t>Option C: JV-Pruefung mit OEM (VW PowerCo) fuer Solid-State-BMS.</w:t>
      </w:r>
    </w:p>
    <w:p>
      <w:pPr>
        <w:pStyle w:val="ListBullet"/>
      </w:pPr>
      <w:r>
        <w:t>Option D: Inorganic Boost via M&amp;A (Target ADAS-/BMS-Software-Spezialist).</w:t>
      </w:r>
    </w:p>
    <w:p>
      <w:pPr>
        <w:pStyle w:val="Heading3"/>
      </w:pPr>
      <w:r>
        <w:t>Bewertung und Empfehlung</w:t>
      </w:r>
    </w:p>
    <w:p>
      <w:r>
        <w:t>Empfehlung: Option A + Option C. Aggressiver Capex-Pfad fuer kurzfristigen Hochlauf, parallel JV-Sondierung mit VW PowerCo fuer 2027+ Solid-State-BMS. Beschluss Vorstand: Capex-Antrag und JV-Mandat freigeben.</w:t>
      </w:r>
    </w:p>
    <w:p>
      <w:pPr>
        <w:pStyle w:val="Heading3"/>
      </w:pPr>
      <w:r>
        <w:t>Auswirkungen auf Konzernsteuerung</w:t>
      </w:r>
    </w:p>
    <w:p>
      <w:r>
        <w:t>Die Umsetzung des empfohlenen Pfades beeinflusst die Konzernsteuerung in den Dimensionen Capex (Capital Allocation Framework), Personal (HR-Roadmap), Technologie (FuE-Roadmap CTO) sowie Compliance (Group Compliance Office). Die Konsequenzen werden in der Mittelfristplanung (MFP) ab dem naechsten Zyklus abgebildet und an den Aufsichtsrat (Pruefungsausschuss) berichtet.</w:t>
      </w:r>
    </w:p>
    <w:p>
      <w:pPr>
        <w:pStyle w:val="Heading3"/>
      </w:pPr>
      <w:r>
        <w:t>Naechste Schritte</w:t>
      </w:r>
    </w:p>
    <w:p>
      <w:pPr>
        <w:pStyle w:val="ListBullet"/>
      </w:pPr>
      <w:r>
        <w:t>Beschlussvorlage Vorstand: naechste regulaere Sitzung.</w:t>
      </w:r>
    </w:p>
    <w:p>
      <w:pPr>
        <w:pStyle w:val="ListBullet"/>
      </w:pPr>
      <w:r>
        <w:t>Information Aufsichtsrats-Vorsitz (Dr. Klaus Steinbrueck) durch CEO.</w:t>
      </w:r>
    </w:p>
    <w:p>
      <w:pPr>
        <w:pStyle w:val="ListBullet"/>
      </w:pPr>
      <w:r>
        <w:t>Aufnahme in Strategie-Roadmap (Strategy Office).</w:t>
      </w:r>
    </w:p>
    <w:p>
      <w:pPr>
        <w:pStyle w:val="ListBullet"/>
      </w:pPr>
      <w:r>
        <w:t>Kommunikationspaket Investor-Relations vorbereiten (falls ad-hoc-relevant).</w:t>
      </w:r>
    </w:p>
    <w:p>
      <w:pPr>
        <w:pStyle w:val="Heading3"/>
      </w:pPr>
      <w:r>
        <w:t>Verfasser / Freigabe</w:t>
      </w:r>
    </w:p>
    <w:p>
      <w:r>
        <w:t>Ort, Datum: Stuttgart, den 14. September 2023</w:t>
      </w:r>
    </w:p>
    <w:p>
      <w:r>
        <w:t>_________________________            _________________________</w:t>
        <w:br/>
        <w:t>Stefan Richter                          Anna Mueller</w:t>
        <w:br/>
        <w:t>CMO/BD                          CEO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