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ISO 21434 Zertifizierung Roadmap</w:t>
      </w:r>
    </w:p>
    <w:p>
      <w:pPr>
        <w:jc w:val="center"/>
      </w:pPr>
      <w:r>
        <w:t>Vorstandsvorlage / Strategie &amp; Business Development – 14. Februar 2024</w:t>
      </w:r>
    </w:p>
    <w:p/>
    <w:p>
      <w:pPr>
        <w:pStyle w:val="Heading3"/>
      </w:pPr>
      <w:r>
        <w:t>Anlass</w:t>
      </w:r>
    </w:p>
    <w:p>
      <w:r>
        <w:t>ISO 21434:2021 (Road Vehicles – Cybersecurity Engineering) ist die Grundlage fuer UNECE R155-Konformitaet. Brennhagen fuehrt das Engineering-Verfahren konzernweit ein. Das Memo beschreibt Status, Meilensteine und Ressourcenbedarf.</w:t>
      </w:r>
    </w:p>
    <w:p>
      <w:r>
        <w:t>Das Memo wurde durch Stefan Hoffmann, CTO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Status Q1/2024: Engineering-Prozesse in RSG (Muenchen) auf Level 2 (Pre-Audit); TARA fuer ICP-3 und ADAS-V4D abgeschlossen; BMS-12 in Bearbeitung. CSMS-Audit durch TUEV Sued geplant Q3/2024. Schulungsprogramm fuer 480 Engineers laeuft (E-Learning + Praesenz). Investitionsbedarf 2024: 2,1 Mio. EUR.</w:t>
      </w:r>
    </w:p>
    <w:p>
      <w:pPr>
        <w:pStyle w:val="Heading3"/>
      </w:pPr>
      <w:r>
        <w:t>Handlungsoptionen</w:t>
      </w:r>
    </w:p>
    <w:p>
      <w:pPr>
        <w:pStyle w:val="ListBullet"/>
      </w:pPr>
      <w:r>
        <w:t>Option A: Vollausrollung 2024 (alle Plattformen, alle Werke).</w:t>
      </w:r>
    </w:p>
    <w:p>
      <w:pPr>
        <w:pStyle w:val="ListBullet"/>
      </w:pPr>
      <w:r>
        <w:t>Option B: Plattform-priorisiert (zuerst BMS-12, dann ADAS-V4D, danach ICP-3).</w:t>
      </w:r>
    </w:p>
    <w:p>
      <w:pPr>
        <w:pStyle w:val="ListBullet"/>
      </w:pPr>
      <w:r>
        <w:t>Option C: Auslagerung Audit-Vorbereitung an externes Beratungshaus.</w:t>
      </w:r>
    </w:p>
    <w:p>
      <w:pPr>
        <w:pStyle w:val="Heading3"/>
      </w:pPr>
      <w:r>
        <w:t>Bewertung und Empfehlung</w:t>
      </w:r>
    </w:p>
    <w:p>
      <w:r>
        <w:t>Empfehlung: Option B (priorisierte Ausrollung). Begruendung: Volumen-Drittel-Logik – BMS-12 wegen OEM-Pflicht 7/2024 priorisieren. Externe Begleitung TUEV Sued + EY beibehalten. Beschluss Vorstand: Roadmap bestaetigen, Budget 2024 freigeben.</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Februar 2024</w:t>
      </w:r>
    </w:p>
    <w:p>
      <w:r>
        <w:t>_________________________            _________________________</w:t>
        <w:br/>
        <w:t>Stefan Hoffmann                          Anna Mueller</w:t>
        <w:br/>
        <w:t>CTO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