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Lieferantendiversifizierung Halbleiter</w:t>
      </w:r>
    </w:p>
    <w:p>
      <w:pPr>
        <w:jc w:val="center"/>
      </w:pPr>
      <w:r>
        <w:t>Vorstandsvorlage / Strategie &amp; Business Development – 14. Maerz 2024</w:t>
      </w:r>
    </w:p>
    <w:p/>
    <w:p>
      <w:pPr>
        <w:pStyle w:val="Heading3"/>
      </w:pPr>
      <w:r>
        <w:t>Anlass</w:t>
      </w:r>
    </w:p>
    <w:p>
      <w:r>
        <w:t>Die Halbleiter-Allokation 2021–2023 hat strukturelle Risiken im Konzern aufgezeigt. Das Memo beschreibt die Strategie zur Diversifizierung und Dual-Sourcing in den kritischen Bauteilgruppen (Microcontroller, Power-Management, Sensoren).</w:t>
      </w:r>
    </w:p>
    <w:p>
      <w:r>
        <w:t>Das Memo wurde durch Dr. Thomas Weber, COO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Status: Dual-Sourcing-Quote Q1/2024 = 52 % (Ziel 70 % Ende 2024). Kritische Single-Sources: NXP S32G fuer ECU-900, Renesas RH850 fuer ICP-3, Infineon AURIX TC3xx fuer BMS-12. Qualifikations-Aufwand fuer Alternative: 14–18 Monate je Bauteil. Investitionsvolumen Qualifizierung: 3,2 Mio. EUR ueber 2 Jahre.</w:t>
      </w:r>
    </w:p>
    <w:p>
      <w:pPr>
        <w:pStyle w:val="Heading3"/>
      </w:pPr>
      <w:r>
        <w:t>Handlungsoptionen</w:t>
      </w:r>
    </w:p>
    <w:p>
      <w:pPr>
        <w:pStyle w:val="ListBullet"/>
      </w:pPr>
      <w:r>
        <w:t>Option A: Aggressive Dual-Sourcing-Strategie (Quote 80 % bis Mitte 2025).</w:t>
      </w:r>
    </w:p>
    <w:p>
      <w:pPr>
        <w:pStyle w:val="ListBullet"/>
      </w:pPr>
      <w:r>
        <w:t>Option B: Risikobasierte Priorisierung (kritische Single-Sources zuerst).</w:t>
      </w:r>
    </w:p>
    <w:p>
      <w:pPr>
        <w:pStyle w:val="ListBullet"/>
      </w:pPr>
      <w:r>
        <w:t>Option C: Strategische Vorratsbildung (Buffer-Stock 6 Monate fuer Top-15 Bauteile).</w:t>
      </w:r>
    </w:p>
    <w:p>
      <w:pPr>
        <w:pStyle w:val="ListBullet"/>
      </w:pPr>
      <w:r>
        <w:t>Option D: Kombination B + C (priorisierte Dual-Sources + Buffer).</w:t>
      </w:r>
    </w:p>
    <w:p>
      <w:pPr>
        <w:pStyle w:val="Heading3"/>
      </w:pPr>
      <w:r>
        <w:t>Bewertung und Empfehlung</w:t>
      </w:r>
    </w:p>
    <w:p>
      <w:r>
        <w:t>Empfehlung: Option D (Kombination). Begruendung: balanceiert Capex-Belastung und Risiko. Buffer-Stock-Aufbau finanziert durch Konsortialkredit-RCF. Beschluss Vorstand: Mandat an Group Procurement und Treasury.</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Maerz 2024</w:t>
      </w:r>
    </w:p>
    <w:p>
      <w:r>
        <w:t>_________________________            _________________________</w:t>
        <w:br/>
        <w:t>Dr. Thomas Weber                          Anna Mueller</w:t>
        <w:br/>
        <w:t>COO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