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Strategie-Memo: Nearshoring Marokko – Decision Gate Vorbereitung</w:t>
      </w:r>
    </w:p>
    <w:p>
      <w:pPr>
        <w:jc w:val="center"/>
      </w:pPr>
      <w:r>
        <w:t>Vorstandsvorlage / Strategie &amp; Business Development – 14. September 2023</w:t>
      </w:r>
    </w:p>
    <w:p/>
    <w:p>
      <w:pPr>
        <w:pStyle w:val="Heading3"/>
      </w:pPr>
      <w:r>
        <w:t>Anlass</w:t>
      </w:r>
    </w:p>
    <w:p>
      <w:r>
        <w:t>Die Pruefung eines Nearshoring-Standortes in Marokko (Tanger Free Zone) wurde als Antwort auf die China-Abhaengigkeit und steigende Lohnkosten in EU-Standorten initiiert. Das Memo fasst die Vor-Pruefung zusammen und bereitet den Decision Gate Q4/2024 vor.</w:t>
      </w:r>
    </w:p>
    <w:p>
      <w:r>
        <w:t>Das Memo wurde durch Dr. Thomas Weber, COO auf Anforderung des Vorstandes (CEO Anna Mueller) erstellt und mit dem CFO (Laura Bauer) sowie dem COO (Dr. Thomas Weber) abgestimmt. Es dient als Grundlage fuer den Beschluss in der naechsten regulaeren Vorstandssitzung sowie ggf. als Vorlage an den Aufsichtsrat / Pruefungsausschuss.</w:t>
      </w:r>
    </w:p>
    <w:p>
      <w:pPr>
        <w:pStyle w:val="Heading3"/>
      </w:pPr>
      <w:r>
        <w:t>Sachverhalt / Kerninhalt</w:t>
      </w:r>
    </w:p>
    <w:p>
      <w:r>
        <w:t>Standortbewertung Tanger Free Zone: gute Infrastruktur (Hafen Tanger-Med), niedrige Lohnkosten (ca. 35 % von Heilbronn), gute Anbindung an EU-Werke (Faehrverbindung Algeciras). Investitionsvolumen geschaetzt 45–55 Mio. EUR fuer SMT-Werk mit 2 Linien (initial ~250 MA). Risiken: politische Stabilitaet, Lieferanten-Oekosystem im Aufbau, Qualifikationsniveau.</w:t>
      </w:r>
    </w:p>
    <w:p>
      <w:pPr>
        <w:pStyle w:val="Heading3"/>
      </w:pPr>
      <w:r>
        <w:t>Handlungsoptionen</w:t>
      </w:r>
    </w:p>
    <w:p>
      <w:pPr>
        <w:pStyle w:val="ListBullet"/>
      </w:pPr>
      <w:r>
        <w:t>Option A: Greenfield-Werk Tanger (Vollausbau).</w:t>
      </w:r>
    </w:p>
    <w:p>
      <w:pPr>
        <w:pStyle w:val="ListBullet"/>
      </w:pPr>
      <w:r>
        <w:t>Option B: Joint-Venture mit lokalem Partner (Risiko-Sharing).</w:t>
      </w:r>
    </w:p>
    <w:p>
      <w:pPr>
        <w:pStyle w:val="ListBullet"/>
      </w:pPr>
      <w:r>
        <w:t>Option C: Auslagerung an EMS-Dienstleister (Foxconn, Jabil) – kein eigenes Werk.</w:t>
      </w:r>
    </w:p>
    <w:p>
      <w:pPr>
        <w:pStyle w:val="ListBullet"/>
      </w:pPr>
      <w:r>
        <w:t>Option D: Kein Nearshoring – Verstaerkung Katowice/Brno.</w:t>
      </w:r>
    </w:p>
    <w:p>
      <w:pPr>
        <w:pStyle w:val="Heading3"/>
      </w:pPr>
      <w:r>
        <w:t>Bewertung und Empfehlung</w:t>
      </w:r>
    </w:p>
    <w:p>
      <w:r>
        <w:t>Empfehlung: Option B (Joint-Venture). Begruendung: balanceiert Investition, Risiko und Marktzugang. Sondierung mit zwei potenziellen Partnern initiieren. Decision Gate Q4/2024.</w:t>
      </w:r>
    </w:p>
    <w:p>
      <w:pPr>
        <w:pStyle w:val="Heading3"/>
      </w:pPr>
      <w:r>
        <w:t>Auswirkungen auf Konzernsteuerung</w:t>
      </w:r>
    </w:p>
    <w:p>
      <w:r>
        <w:t>Die Umsetzung des empfohlenen Pfades beeinflusst die Konzernsteuerung in den Dimensionen Capex (Capital Allocation Framework), Personal (HR-Roadmap), Technologie (FuE-Roadmap CTO) sowie Compliance (Group Compliance Office). Die Konsequenzen werden in der Mittelfristplanung (MFP) ab dem naechsten Zyklus abgebildet und an den Aufsichtsrat (Pruefungsausschuss) berichtet.</w:t>
      </w:r>
    </w:p>
    <w:p>
      <w:pPr>
        <w:pStyle w:val="Heading3"/>
      </w:pPr>
      <w:r>
        <w:t>Naechste Schritte</w:t>
      </w:r>
    </w:p>
    <w:p>
      <w:pPr>
        <w:pStyle w:val="ListBullet"/>
      </w:pPr>
      <w:r>
        <w:t>Beschlussvorlage Vorstand: naechste regulaere Sitzung.</w:t>
      </w:r>
    </w:p>
    <w:p>
      <w:pPr>
        <w:pStyle w:val="ListBullet"/>
      </w:pPr>
      <w:r>
        <w:t>Information Aufsichtsrats-Vorsitz (Dr. Klaus Steinbrueck) durch CEO.</w:t>
      </w:r>
    </w:p>
    <w:p>
      <w:pPr>
        <w:pStyle w:val="ListBullet"/>
      </w:pPr>
      <w:r>
        <w:t>Aufnahme in Strategie-Roadmap (Strategy Office).</w:t>
      </w:r>
    </w:p>
    <w:p>
      <w:pPr>
        <w:pStyle w:val="ListBullet"/>
      </w:pPr>
      <w:r>
        <w:t>Kommunikationspaket Investor-Relations vorbereiten (falls ad-hoc-relevant).</w:t>
      </w:r>
    </w:p>
    <w:p>
      <w:pPr>
        <w:pStyle w:val="Heading3"/>
      </w:pPr>
      <w:r>
        <w:t>Verfasser / Freigabe</w:t>
      </w:r>
    </w:p>
    <w:p>
      <w:r>
        <w:t>Ort, Datum: Stuttgart, den 14. September 2023</w:t>
      </w:r>
    </w:p>
    <w:p>
      <w:r>
        <w:t>_________________________            _________________________</w:t>
        <w:br/>
        <w:t>Dr. Thomas Weber                          Anna Mueller</w:t>
        <w:br/>
        <w:t>COO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