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Software-Defined Vehicle – Plattformstrategie</w:t>
      </w:r>
    </w:p>
    <w:p>
      <w:pPr>
        <w:jc w:val="center"/>
      </w:pPr>
      <w:r>
        <w:t>Vorstandsvorlage / Strategie &amp; Business Development – 14. Maerz 2024</w:t>
      </w:r>
    </w:p>
    <w:p/>
    <w:p>
      <w:pPr>
        <w:pStyle w:val="Heading3"/>
      </w:pPr>
      <w:r>
        <w:t>Anlass</w:t>
      </w:r>
    </w:p>
    <w:p>
      <w:r>
        <w:t>Software-Defined Vehicle (SDV) ist der dominante OEM-Trend 2024–2030. Brennhagen positioniert BrennhagenOS als HAL-/Middleware-Schicht und Service-Plattform. Das Memo skizziert die Plattformstrategie und Investitionsbedarf.</w:t>
      </w:r>
    </w:p>
    <w:p>
      <w:r>
        <w:t>Das Memo wurde durch Stefan Hoffmann, CTO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BrennhagenOS-Vision: Container-faehiges Middleware (OCI), AUTOSAR Adaptive-konform, DDS-Kommunikation, OTA-Integration (UNECE R156). Backend: AWS EU + Konzern-RZ Stuttgart (Hybrid Cloud). Geschaeftsmodell: Subscription-/Pay-per-Update. ARR-Ziel 2028: 35 Mio. EUR. Investitionsbedarf RSG: 22 Mio. EUR ueber 4 Jahre + 60 FTE Recruitment.</w:t>
      </w:r>
    </w:p>
    <w:p>
      <w:pPr>
        <w:pStyle w:val="Heading3"/>
      </w:pPr>
      <w:r>
        <w:t>Handlungsoptionen</w:t>
      </w:r>
    </w:p>
    <w:p>
      <w:pPr>
        <w:pStyle w:val="ListBullet"/>
      </w:pPr>
      <w:r>
        <w:t>Option A: Eigenentwicklung Vollstack (Capex 22 Mio. EUR, FTE +60).</w:t>
      </w:r>
    </w:p>
    <w:p>
      <w:pPr>
        <w:pStyle w:val="ListBullet"/>
      </w:pPr>
      <w:r>
        <w:t>Option B: Partnerschaft Elektrobit / Vector / ETAS (geringere Capex, weniger Differenzierung).</w:t>
      </w:r>
    </w:p>
    <w:p>
      <w:pPr>
        <w:pStyle w:val="ListBullet"/>
      </w:pPr>
      <w:r>
        <w:t>Option C: Akquisition AUTOSAR-Adaptive-Boutique (M&amp;A 40–60 Mio. EUR).</w:t>
      </w:r>
    </w:p>
    <w:p>
      <w:pPr>
        <w:pStyle w:val="ListBullet"/>
      </w:pPr>
      <w:r>
        <w:t>Option D: Mix-Modell: Eigene Kern-Layer + Partnerschaft fuer Tools.</w:t>
      </w:r>
    </w:p>
    <w:p>
      <w:pPr>
        <w:pStyle w:val="Heading3"/>
      </w:pPr>
      <w:r>
        <w:t>Bewertung und Empfehlung</w:t>
      </w:r>
    </w:p>
    <w:p>
      <w:r>
        <w:t>Empfehlung: Option D (Mix-Modell). Begruendung: eigene Kern-Differenzierung + Tool-Pragmatismus. Capex und Recruitment-Antrag in MFP-Zyklus 2024–2028 aufnehmen.</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Maerz 2024</w:t>
      </w:r>
    </w:p>
    <w:p>
      <w:r>
        <w:t>_________________________            _________________________</w:t>
        <w:br/>
        <w:t>Stefan Hoffmann                          Anna Mueller</w:t>
        <w:br/>
        <w:t>CTO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