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Strategie-Memo: TISAX Level 3 Roadmap</w:t>
      </w:r>
    </w:p>
    <w:p>
      <w:pPr>
        <w:jc w:val="center"/>
      </w:pPr>
      <w:r>
        <w:t>Vorstandsvorlage / Strategie &amp; Business Development – 14. Februar 2024</w:t>
      </w:r>
    </w:p>
    <w:p/>
    <w:p>
      <w:pPr>
        <w:pStyle w:val="Heading3"/>
      </w:pPr>
      <w:r>
        <w:t>Anlass</w:t>
      </w:r>
    </w:p>
    <w:p>
      <w:r>
        <w:t>TISAX (Trusted Information Security Assessment Exchange) ist OEM-Anforderung fuer Informationssicherheit. Brennhagen hat TISAX Level 2 in REG, RSG, RPL, RCZ, RHU. Premium-OEMs (BMW, Mercedes-Benz, Audi) fordern Level 3 ab 2025. Das Memo beschreibt die Roadmap.</w:t>
      </w:r>
    </w:p>
    <w:p>
      <w:r>
        <w:t>Das Memo wurde durch Stefan Hoffmann, CTO auf Anforderung des Vorstandes (CEO Anna Mueller) erstellt und mit dem CFO (Laura Bauer) sowie dem COO (Dr. Thomas Weber) abgestimmt. Es dient als Grundlage fuer den Beschluss in der naechsten regulaeren Vorstandssitzung sowie ggf. als Vorlage an den Aufsichtsrat / Pruefungsausschuss.</w:t>
      </w:r>
    </w:p>
    <w:p>
      <w:pPr>
        <w:pStyle w:val="Heading3"/>
      </w:pPr>
      <w:r>
        <w:t>Sachverhalt / Kerninhalt</w:t>
      </w:r>
    </w:p>
    <w:p>
      <w:r>
        <w:t>Status Q1/2024: TISAX Level 2 in 5 Werken; Level 3 erfordert zusaetzliche Sicherheits-Audits (z.B. Hochsicherheits-Areale fuer Prototypen, erweiterte Pen-Tests). Investitionsbedarf Gesamtkonzern: 1,8 Mio. EUR (Audit + Infrastruktur). Externer Auditor: TUEV Hessen.</w:t>
      </w:r>
    </w:p>
    <w:p>
      <w:pPr>
        <w:pStyle w:val="Heading3"/>
      </w:pPr>
      <w:r>
        <w:t>Handlungsoptionen</w:t>
      </w:r>
    </w:p>
    <w:p>
      <w:pPr>
        <w:pStyle w:val="ListBullet"/>
      </w:pPr>
      <w:r>
        <w:t>Option A: Vollausrollung Level 3 in allen Werken bis Q3/2025.</w:t>
      </w:r>
    </w:p>
    <w:p>
      <w:pPr>
        <w:pStyle w:val="ListBullet"/>
      </w:pPr>
      <w:r>
        <w:t>Option B: Priorisierung RSG Muenchen (Prototypen-Werk) und Heilbronn (BMS-12 Prototypen).</w:t>
      </w:r>
    </w:p>
    <w:p>
      <w:pPr>
        <w:pStyle w:val="ListBullet"/>
      </w:pPr>
      <w:r>
        <w:t>Option C: Konsolidierung Prototypen-Aktivitaeten in RSG (Single Site Level 3).</w:t>
      </w:r>
    </w:p>
    <w:p>
      <w:pPr>
        <w:pStyle w:val="Heading3"/>
      </w:pPr>
      <w:r>
        <w:t>Bewertung und Empfehlung</w:t>
      </w:r>
    </w:p>
    <w:p>
      <w:r>
        <w:t>Empfehlung: Option B (priorisierte Ausrollung). RSG und Heilbronn zuerst, Folge-Werke in 2026. Beschluss Vorstand: Roadmap und Budget genehmigen. Verantwortung Group CISO.</w:t>
      </w:r>
    </w:p>
    <w:p>
      <w:pPr>
        <w:pStyle w:val="Heading3"/>
      </w:pPr>
      <w:r>
        <w:t>Auswirkungen auf Konzernsteuerung</w:t>
      </w:r>
    </w:p>
    <w:p>
      <w:r>
        <w:t>Die Umsetzung des empfohlenen Pfades beeinflusst die Konzernsteuerung in den Dimensionen Capex (Capital Allocation Framework), Personal (HR-Roadmap), Technologie (FuE-Roadmap CTO) sowie Compliance (Group Compliance Office). Die Konsequenzen werden in der Mittelfristplanung (MFP) ab dem naechsten Zyklus abgebildet und an den Aufsichtsrat (Pruefungsausschuss) berichtet.</w:t>
      </w:r>
    </w:p>
    <w:p>
      <w:pPr>
        <w:pStyle w:val="Heading3"/>
      </w:pPr>
      <w:r>
        <w:t>Naechste Schritte</w:t>
      </w:r>
    </w:p>
    <w:p>
      <w:pPr>
        <w:pStyle w:val="ListBullet"/>
      </w:pPr>
      <w:r>
        <w:t>Beschlussvorlage Vorstand: naechste regulaere Sitzung.</w:t>
      </w:r>
    </w:p>
    <w:p>
      <w:pPr>
        <w:pStyle w:val="ListBullet"/>
      </w:pPr>
      <w:r>
        <w:t>Information Aufsichtsrats-Vorsitz (Dr. Klaus Steinbrueck) durch CEO.</w:t>
      </w:r>
    </w:p>
    <w:p>
      <w:pPr>
        <w:pStyle w:val="ListBullet"/>
      </w:pPr>
      <w:r>
        <w:t>Aufnahme in Strategie-Roadmap (Strategy Office).</w:t>
      </w:r>
    </w:p>
    <w:p>
      <w:pPr>
        <w:pStyle w:val="ListBullet"/>
      </w:pPr>
      <w:r>
        <w:t>Kommunikationspaket Investor-Relations vorbereiten (falls ad-hoc-relevant).</w:t>
      </w:r>
    </w:p>
    <w:p>
      <w:pPr>
        <w:pStyle w:val="Heading3"/>
      </w:pPr>
      <w:r>
        <w:t>Verfasser / Freigabe</w:t>
      </w:r>
    </w:p>
    <w:p>
      <w:r>
        <w:t>Ort, Datum: Stuttgart, den 14. Februar 2024</w:t>
      </w:r>
    </w:p>
    <w:p>
      <w:r>
        <w:t>_________________________            _________________________</w:t>
        <w:br/>
        <w:t>Stefan Hoffmann                          Anna Mueller</w:t>
        <w:br/>
        <w:t>CTO                          CEO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