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Strategiepapier 2023 – Brennhagen Elektronik AG</w:t>
      </w:r>
    </w:p>
    <w:p>
      <w:pPr>
        <w:jc w:val="center"/>
      </w:pPr>
      <w:r>
        <w:t>»NEXT 2026 – Post-IPO-Wachstum« – Konzernstrategie 2023; Vorlage Vorstand / Aufsichtsrat</w:t>
      </w:r>
    </w:p>
    <w:p/>
    <w:p>
      <w:pPr>
        <w:pStyle w:val="Heading3"/>
      </w:pPr>
      <w:r>
        <w:t>Management Summary</w:t>
      </w:r>
    </w:p>
    <w:p>
      <w:r>
        <w:t>Das vorliegende Strategiepapier 2023 beschreibt den strategischen Kompass der Brennhagen Elektronik AG (»REA«) und ihrer Konzerngesellschaften unter dem Leitmotiv »Skalierung mit drei Saeulen: BEV/BMS, ADAS L2-3, Software-as-a-Service«. Es loest die Vorgaengerfassung des Strategiepapiers ab und wurde durch den Vorstand in der Sitzung vom 12. Dezember 2022 beschlossen sowie dem Aufsichtsrat in der darauffolgenden Sitzung vorgelegt. Verantwortlich fuer Erstellung und Pflege ist das Vorstandsbuero (Dr. Veronika Steiner) in Abstimmung mit dem Strategieausschuss unter CFO Laura Bauer.</w:t>
      </w:r>
    </w:p>
    <w:p>
      <w:r>
        <w:t>Der Brennhagen-Konzern positioniert sich als europaeischer Tier-1-Spezialist fuer automotive Elektronik mit den Schwerpunkten Batteriemanagement (BMS), ADAS Level 2–3 und Software-defined Vehicle. Die Strategie 2023 setzt einen klaren Wachstumspfad mit einem Umsatzziel von 1,0 Mrd. EUR fuer das Jahr 2028 (CAGR 13 %) sowie einer strukturellen EBITDA-Marge ueber 14 %. Sie ist mit der Mittelfristplanung (MFP) und dem Capital Allocation Framework verzahnt.</w:t>
      </w:r>
    </w:p>
    <w:p>
      <w:pPr>
        <w:pStyle w:val="Heading3"/>
      </w:pPr>
      <w:r>
        <w:t>Marktkontext und Ausgangslage</w:t>
      </w:r>
    </w:p>
    <w:p>
      <w:r>
        <w:t>Nach erfolgreichem IPO (14. Oktober 2022, Emissionskurs 24,50 EUR/Aktie, Erloes 612 Mio. EUR) ist Brennhagen Elektronik AG nun Prime-Standard-Wert. Der BEV-Markt waechst in Europa mit CAGR 18-22 % bis 2028, ADAS Level 2-3 mit CAGR 12 %. China-Markt zeigt Konsolidierungstendenzen mit starker lokaler Konkurrenz (BYD, Huawei, NIO). Halbleiter-Verfuegbarkeit normalisiert sich, bleibt aber spezifisch (NXP, Renesas) eng.</w:t>
      </w:r>
    </w:p>
    <w:p>
      <w:pPr>
        <w:pStyle w:val="Heading3"/>
      </w:pPr>
      <w:r>
        <w:t>Strategische Saeulen</w:t>
      </w:r>
    </w:p>
    <w:p>
      <w:pPr>
        <w:pStyle w:val="ListBullet"/>
      </w:pPr>
      <w:r>
        <w:t>Saeule I – BEV/BMS: BMS-12-Plattform-Expansion (800 V), neue Generation BMS-12.2 SOP Q2/2025.</w:t>
      </w:r>
    </w:p>
    <w:p>
      <w:pPr>
        <w:pStyle w:val="ListBullet"/>
      </w:pPr>
      <w:r>
        <w:t>Saeule II – ADAS L2-3: Radar Fusion ADAS-V4D, Lead-Customers Mercedes-Benz und Stellantis.</w:t>
      </w:r>
    </w:p>
    <w:p>
      <w:pPr>
        <w:pStyle w:val="ListBullet"/>
      </w:pPr>
      <w:r>
        <w:t>Saeule III – Software-as-a-Service: »BrennhagenOS« – OTA-Update-Plattform mit ARR-Geschaeftsmodell.</w:t>
      </w:r>
    </w:p>
    <w:p>
      <w:pPr>
        <w:pStyle w:val="ListBullet"/>
      </w:pPr>
      <w:r>
        <w:t>Saeule IV – Internationalisierung: Vorstand CRO Asia (Dr. Yuki Tanaka) ab 1.4.2024.</w:t>
      </w:r>
    </w:p>
    <w:p>
      <w:pPr>
        <w:pStyle w:val="ListBullet"/>
      </w:pPr>
      <w:r>
        <w:t>Saeule V – ESG / CSRD: Reporting-Infrastruktur Berichtspflicht GJ 2024 (BTP-Gruppe + RHO).</w:t>
      </w:r>
    </w:p>
    <w:p>
      <w:pPr>
        <w:pStyle w:val="Heading3"/>
      </w:pPr>
      <w:r>
        <w:t>Finanzielle Eckwerte (Mittelfristplan, Mio. EUR)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KPI</w:t>
            </w:r>
          </w:p>
        </w:tc>
        <w:tc>
          <w:tcPr>
            <w:tcW w:type="dxa" w:w="1728"/>
          </w:tcPr>
          <w:p>
            <w:r>
              <w:t>2022 Ist</w:t>
            </w:r>
          </w:p>
        </w:tc>
        <w:tc>
          <w:tcPr>
            <w:tcW w:type="dxa" w:w="1728"/>
          </w:tcPr>
          <w:p>
            <w:r>
              <w:t>2023 Erwartung</w:t>
            </w:r>
          </w:p>
        </w:tc>
        <w:tc>
          <w:tcPr>
            <w:tcW w:type="dxa" w:w="1728"/>
          </w:tcPr>
          <w:p>
            <w:r>
              <w:t>2025 Plan</w:t>
            </w:r>
          </w:p>
        </w:tc>
        <w:tc>
          <w:tcPr>
            <w:tcW w:type="dxa" w:w="1728"/>
          </w:tcPr>
          <w:p>
            <w:r>
              <w:t>2028 Ziel</w:t>
            </w:r>
          </w:p>
        </w:tc>
      </w:tr>
      <w:tr>
        <w:tc>
          <w:tcPr>
            <w:tcW w:type="dxa" w:w="1728"/>
          </w:tcPr>
          <w:p>
            <w:r>
              <w:t>Umsatz Konzern</w:t>
            </w:r>
          </w:p>
        </w:tc>
        <w:tc>
          <w:tcPr>
            <w:tcW w:type="dxa" w:w="1728"/>
          </w:tcPr>
          <w:p>
            <w:r>
              <w:t>600</w:t>
            </w:r>
          </w:p>
        </w:tc>
        <w:tc>
          <w:tcPr>
            <w:tcW w:type="dxa" w:w="1728"/>
          </w:tcPr>
          <w:p>
            <w:r>
              <w:t>612</w:t>
            </w:r>
          </w:p>
        </w:tc>
        <w:tc>
          <w:tcPr>
            <w:tcW w:type="dxa" w:w="1728"/>
          </w:tcPr>
          <w:p>
            <w:r>
              <w:t>820</w:t>
            </w:r>
          </w:p>
        </w:tc>
        <w:tc>
          <w:tcPr>
            <w:tcW w:type="dxa" w:w="1728"/>
          </w:tcPr>
          <w:p>
            <w:r>
              <w:t>1.000</w:t>
            </w:r>
          </w:p>
        </w:tc>
      </w:tr>
      <w:tr>
        <w:tc>
          <w:tcPr>
            <w:tcW w:type="dxa" w:w="1728"/>
          </w:tcPr>
          <w:p>
            <w:r>
              <w:t>EBITDA</w:t>
            </w:r>
          </w:p>
        </w:tc>
        <w:tc>
          <w:tcPr>
            <w:tcW w:type="dxa" w:w="1728"/>
          </w:tcPr>
          <w:p>
            <w:r>
              <w:t>73</w:t>
            </w:r>
          </w:p>
        </w:tc>
        <w:tc>
          <w:tcPr>
            <w:tcW w:type="dxa" w:w="1728"/>
          </w:tcPr>
          <w:p>
            <w:r>
              <w:t>74,3</w:t>
            </w:r>
          </w:p>
        </w:tc>
        <w:tc>
          <w:tcPr>
            <w:tcW w:type="dxa" w:w="1728"/>
          </w:tcPr>
          <w:p>
            <w:r>
              <w:t>128</w:t>
            </w:r>
          </w:p>
        </w:tc>
        <w:tc>
          <w:tcPr>
            <w:tcW w:type="dxa" w:w="1728"/>
          </w:tcPr>
          <w:p>
            <w:r>
              <w:t>150</w:t>
            </w:r>
          </w:p>
        </w:tc>
      </w:tr>
      <w:tr>
        <w:tc>
          <w:tcPr>
            <w:tcW w:type="dxa" w:w="1728"/>
          </w:tcPr>
          <w:p>
            <w:r>
              <w:t>EBITDA-Marge %</w:t>
            </w:r>
          </w:p>
        </w:tc>
        <w:tc>
          <w:tcPr>
            <w:tcW w:type="dxa" w:w="1728"/>
          </w:tcPr>
          <w:p>
            <w:r>
              <w:t>12,2</w:t>
            </w:r>
          </w:p>
        </w:tc>
        <w:tc>
          <w:tcPr>
            <w:tcW w:type="dxa" w:w="1728"/>
          </w:tcPr>
          <w:p>
            <w:r>
              <w:t>12,1</w:t>
            </w:r>
          </w:p>
        </w:tc>
        <w:tc>
          <w:tcPr>
            <w:tcW w:type="dxa" w:w="1728"/>
          </w:tcPr>
          <w:p>
            <w:r>
              <w:t>15,6</w:t>
            </w:r>
          </w:p>
        </w:tc>
        <w:tc>
          <w:tcPr>
            <w:tcW w:type="dxa" w:w="1728"/>
          </w:tcPr>
          <w:p>
            <w:r>
              <w:t>15,0</w:t>
            </w:r>
          </w:p>
        </w:tc>
      </w:tr>
      <w:tr>
        <w:tc>
          <w:tcPr>
            <w:tcW w:type="dxa" w:w="1728"/>
          </w:tcPr>
          <w:p>
            <w:r>
              <w:t>FTE</w:t>
            </w:r>
          </w:p>
        </w:tc>
        <w:tc>
          <w:tcPr>
            <w:tcW w:type="dxa" w:w="1728"/>
          </w:tcPr>
          <w:p>
            <w:r>
              <w:t>4.020</w:t>
            </w:r>
          </w:p>
        </w:tc>
        <w:tc>
          <w:tcPr>
            <w:tcW w:type="dxa" w:w="1728"/>
          </w:tcPr>
          <w:p>
            <w:r>
              <w:t>4.180</w:t>
            </w:r>
          </w:p>
        </w:tc>
        <w:tc>
          <w:tcPr>
            <w:tcW w:type="dxa" w:w="1728"/>
          </w:tcPr>
          <w:p>
            <w:r>
              <w:t>4.700</w:t>
            </w:r>
          </w:p>
        </w:tc>
        <w:tc>
          <w:tcPr>
            <w:tcW w:type="dxa" w:w="1728"/>
          </w:tcPr>
          <w:p>
            <w:r>
              <w:t>5.000</w:t>
            </w:r>
          </w:p>
        </w:tc>
      </w:tr>
      <w:tr>
        <w:tc>
          <w:tcPr>
            <w:tcW w:type="dxa" w:w="1728"/>
          </w:tcPr>
          <w:p>
            <w:r>
              <w:t>Capex</w:t>
            </w:r>
          </w:p>
        </w:tc>
        <w:tc>
          <w:tcPr>
            <w:tcW w:type="dxa" w:w="1728"/>
          </w:tcPr>
          <w:p>
            <w:r>
              <w:t>52</w:t>
            </w:r>
          </w:p>
        </w:tc>
        <w:tc>
          <w:tcPr>
            <w:tcW w:type="dxa" w:w="1728"/>
          </w:tcPr>
          <w:p>
            <w:r>
              <w:t>62</w:t>
            </w:r>
          </w:p>
        </w:tc>
        <w:tc>
          <w:tcPr>
            <w:tcW w:type="dxa" w:w="1728"/>
          </w:tcPr>
          <w:p>
            <w:r>
              <w:t>72</w:t>
            </w:r>
          </w:p>
        </w:tc>
        <w:tc>
          <w:tcPr>
            <w:tcW w:type="dxa" w:w="1728"/>
          </w:tcPr>
          <w:p>
            <w:r>
              <w:t>80</w:t>
            </w:r>
          </w:p>
        </w:tc>
      </w:tr>
      <w:tr>
        <w:tc>
          <w:tcPr>
            <w:tcW w:type="dxa" w:w="1728"/>
          </w:tcPr>
          <w:p>
            <w:r>
              <w:t>Dividende EUR/Aktie</w:t>
            </w:r>
          </w:p>
        </w:tc>
        <w:tc>
          <w:tcPr>
            <w:tcW w:type="dxa" w:w="1728"/>
          </w:tcPr>
          <w:p>
            <w:r>
              <w:t>1,80</w:t>
            </w:r>
          </w:p>
        </w:tc>
        <w:tc>
          <w:tcPr>
            <w:tcW w:type="dxa" w:w="1728"/>
          </w:tcPr>
          <w:p>
            <w:r>
              <w:t>2,10</w:t>
            </w:r>
          </w:p>
        </w:tc>
        <w:tc>
          <w:tcPr>
            <w:tcW w:type="dxa" w:w="1728"/>
          </w:tcPr>
          <w:p>
            <w:r>
              <w:t>2,80</w:t>
            </w:r>
          </w:p>
        </w:tc>
        <w:tc>
          <w:tcPr>
            <w:tcW w:type="dxa" w:w="1728"/>
          </w:tcPr>
          <w:p>
            <w:r>
              <w:t>3,50</w:t>
            </w:r>
          </w:p>
        </w:tc>
      </w:tr>
    </w:tbl>
    <w:p>
      <w:pPr>
        <w:pStyle w:val="Heading3"/>
      </w:pPr>
      <w:r>
        <w:t>Strategische Initiativen / Roadmap</w:t>
      </w:r>
    </w:p>
    <w:p>
      <w:pPr>
        <w:pStyle w:val="ListBullet"/>
      </w:pPr>
      <w:r>
        <w:t>Initiative 1 – BMS-12 Plattform-Expansion: Skalierung der Produktion in Heilbronn auf 4,5 Mio. Module p.a. bis 2026, neue SOP fuer BMS-12.2 (800 V) Q2/2025.</w:t>
      </w:r>
    </w:p>
    <w:p>
      <w:pPr>
        <w:pStyle w:val="ListBullet"/>
      </w:pPr>
      <w:r>
        <w:t>Initiative 2 – ADAS-V4D Radar Fusion Generation 2: gemeinsame Entwicklung mit Mercedes-Benz und Stellantis, SOP Q4/2026.</w:t>
      </w:r>
    </w:p>
    <w:p>
      <w:pPr>
        <w:pStyle w:val="ListBullet"/>
      </w:pPr>
      <w:r>
        <w:t>Initiative 3 – Software-as-a-Service Plattform: »BrennhagenOS« Subscription-Modell fuer OTA-Updates, ARR-Ziel 35 Mio. EUR bis 2028.</w:t>
      </w:r>
    </w:p>
    <w:p>
      <w:pPr>
        <w:pStyle w:val="ListBullet"/>
      </w:pPr>
      <w:r>
        <w:t>Initiative 4 – Nearshoring Marokko: Pruefung Produktionsstandort Tanger Free Zone (Decision Gate Q4/2024).</w:t>
      </w:r>
    </w:p>
    <w:p>
      <w:pPr>
        <w:pStyle w:val="ListBullet"/>
      </w:pPr>
      <w:r>
        <w:t>Initiative 5 – China-Lokalisierung: Ausbau Shanghai-Vertrieb, Joint-Venture-Pruefung mit CATL fuer lokale BMS-Fertigung.</w:t>
      </w:r>
    </w:p>
    <w:p>
      <w:pPr>
        <w:pStyle w:val="ListBullet"/>
      </w:pPr>
      <w:r>
        <w:t>Initiative 6 – ESG / CSRD Compliance: Aufbau Reporting-Infrastruktur fuer Berichtspflicht ab GJ 2024, Heubeck-Aktuarberater integriert.</w:t>
      </w:r>
    </w:p>
    <w:p>
      <w:pPr>
        <w:pStyle w:val="Heading3"/>
      </w:pPr>
      <w:r>
        <w:t>Risikoportfolio und Gegenmassnahmen</w:t>
      </w:r>
    </w:p>
    <w:p>
      <w:pPr>
        <w:pStyle w:val="ListBullet"/>
      </w:pPr>
      <w:r>
        <w:t>Risiko M1 – BEV-Nachfrage-Eindellung (Foerdermittel-Wegfall DE): Stress-Szenario Downside -8 % Umsatz.</w:t>
      </w:r>
    </w:p>
    <w:p>
      <w:pPr>
        <w:pStyle w:val="ListBullet"/>
      </w:pPr>
      <w:r>
        <w:t>Risiko M2 – China-Exposure / Decoupling: RCN-Strategy-Review Q4/2024, Pruefung lokaler Partner.</w:t>
      </w:r>
    </w:p>
    <w:p>
      <w:pPr>
        <w:pStyle w:val="ListBullet"/>
      </w:pPr>
      <w:r>
        <w:t>Risiko OEM1 – Stellantis Werks-Schliessungen (FR/IT): mittelbare Volumen-Risiken ADAS-V4D / ECU-900.</w:t>
      </w:r>
    </w:p>
    <w:p>
      <w:pPr>
        <w:pStyle w:val="ListBullet"/>
      </w:pPr>
      <w:r>
        <w:t>Risiko T1 – Cybersecurity UNECE R155: Verspaetete Type-Approval bei nicht-konformen Zulieferern.</w:t>
      </w:r>
    </w:p>
    <w:p>
      <w:pPr>
        <w:pStyle w:val="ListBullet"/>
      </w:pPr>
      <w:r>
        <w:t>Risiko F1 – Zinsumfeld / Refinanzierung Konsortialkredit 2027: fruehzeitige Markt-Sondierung 2025.</w:t>
      </w:r>
    </w:p>
    <w:p>
      <w:pPr>
        <w:pStyle w:val="Heading3"/>
      </w:pPr>
      <w:r>
        <w:t>Governance und Steuerung</w:t>
      </w:r>
    </w:p>
    <w:p>
      <w:r>
        <w:t>Die Strategieumsetzung wird ueber den monatlichen Vorstands-Strategie-Jour-Fixe (jeweils 1. Donnerstag) gesteuert. Quartalsberichterstattung an den Aufsichtsrat erfolgt durch die CEO. Strategische Initiativen werden im Stage-Gate-Verfahren gefuehrt (G0 bis G4); jede Initiative hat einen verantwortlichen Vorstand (Single Point of Accountability). KPI-Reporting laeuft ueber das Group Performance Management System (GPMS) mit Anbindung an SAP S/4HANA.</w:t>
      </w:r>
    </w:p>
    <w:p>
      <w:pPr>
        <w:pStyle w:val="Heading3"/>
      </w:pPr>
      <w:r>
        <w:t>Freigabe / Beschluss</w:t>
      </w:r>
    </w:p>
    <w:p>
      <w:r>
        <w:t>Ort, Datum: Stuttgart, den 12. Dezember 2022</w:t>
      </w:r>
    </w:p>
    <w:p>
      <w:r>
        <w:t>_________________________            _________________________</w:t>
        <w:br/>
        <w:t>Anna Mueller                          Laura Bauer</w:t>
        <w:br/>
        <w:t>Vorstandsvorsitzende                          CFO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