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2022 / Q1</w:t>
      </w:r>
    </w:p>
    <w:p>
      <w:pPr>
        <w:jc w:val="center"/>
      </w:pPr>
      <w:r>
        <w:t>Quartalsbericht Vorstand an Aufsichtsrat – Q1/2022</w:t>
      </w:r>
    </w:p>
    <w:p/>
    <w:p>
      <w:pPr>
        <w:pStyle w:val="Heading3"/>
      </w:pPr>
      <w:r>
        <w:t>Sitzungsangaben</w:t>
      </w:r>
    </w:p>
    <w:p>
      <w:r>
        <w:t>Vorstandssitzung am 10. Maerz 2022,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Q1/2022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Q1/2022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Q1/2022 Ist</w:t>
            </w:r>
          </w:p>
        </w:tc>
        <w:tc>
          <w:tcPr>
            <w:tcW w:type="dxa" w:w="1728"/>
          </w:tcPr>
          <w:p>
            <w:r>
              <w:t>Q1/2022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V-2022-Q1-001: Freigabe Investitionsantrag Werk Heilbronn (Capex 4,8 Mio. EUR).</w:t>
      </w:r>
    </w:p>
    <w:p>
      <w:pPr>
        <w:pStyle w:val="ListBullet"/>
      </w:pPr>
      <w:r>
        <w:t>V-2022-Q1-002: Beauftragung KPMG mit Pruefungsschwerpunkten 2022.</w:t>
      </w:r>
    </w:p>
    <w:p>
      <w:pPr>
        <w:pStyle w:val="ListBullet"/>
      </w:pPr>
      <w:r>
        <w:t>V-2022-Q1-003: Genehmigung Dienstreise-Plan COO Asien (Sept./Okt.).</w:t>
      </w:r>
    </w:p>
    <w:p>
      <w:pPr>
        <w:pStyle w:val="ListBullet"/>
      </w:pPr>
      <w:r>
        <w:t>V-2022-Q1-004: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2023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