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Vorstandspraesentation 2023 / Q2</w:t>
      </w:r>
    </w:p>
    <w:p>
      <w:pPr>
        <w:jc w:val="center"/>
      </w:pPr>
      <w:r>
        <w:t>Quartalsbericht Vorstand an Aufsichtsrat – Q2/2023</w:t>
      </w:r>
    </w:p>
    <w:p/>
    <w:p>
      <w:pPr>
        <w:pStyle w:val="Heading3"/>
      </w:pPr>
      <w:r>
        <w:t>Sitzungsangaben</w:t>
      </w:r>
    </w:p>
    <w:p>
      <w:r>
        <w:t>Vorstandssitzung am 15. Juni 2023, 8:30–13:00 Uhr, Vaihinger Strasse 120, 70567 Stuttgart, Raum »Stuttgart« (8. OG). Vorsitz: CEO Anna Mueller. Anwesend: Laura Bauer (CFO), Dr. Thomas Weber (COO), Stefan Hoffmann (CTO) sowie ab Q2/2023 Stefan Richter (CMO/BD). Schriftfuehrerin: Dr. Veronika Steiner (Vorstandsbuero). Ausgewaehlte Tagesordnungspunkte wurden in Anwesenheit des KPMG-Lead-Partners Dr. Maximilian Brand behandelt.</w:t>
      </w:r>
    </w:p>
    <w:p>
      <w:pPr>
        <w:pStyle w:val="Heading3"/>
      </w:pPr>
      <w:r>
        <w:t>Wesentliche Themen / Schwerpunkte</w:t>
      </w:r>
    </w:p>
    <w:p>
      <w:pPr>
        <w:pStyle w:val="ListBullet"/>
      </w:pPr>
      <w:r>
        <w:t>OEM-Pipeline Update Q2/2023 (BMW, Mercedes-Benz, VW, Stellantis, Hyundai)</w:t>
      </w:r>
    </w:p>
    <w:p>
      <w:pPr>
        <w:pStyle w:val="ListBullet"/>
      </w:pPr>
      <w:r>
        <w:t>BMS-12 Hochlauf Heilbronn – Status SOP / OEE / Stueckzahlen</w:t>
      </w:r>
    </w:p>
    <w:p>
      <w:pPr>
        <w:pStyle w:val="ListBullet"/>
      </w:pPr>
      <w:r>
        <w:t>ADAS-V4D-Programm – Engineering-Sample-Lieferungen / ASPICE-Status RSG</w:t>
      </w:r>
    </w:p>
    <w:p>
      <w:pPr>
        <w:pStyle w:val="ListBullet"/>
      </w:pPr>
      <w:r>
        <w:t>FX- und Treasury-Lage – siehe FX-Hedge-Bericht Q2/2023</w:t>
      </w:r>
    </w:p>
    <w:p>
      <w:pPr>
        <w:pStyle w:val="ListBullet"/>
      </w:pPr>
      <w:r>
        <w:t>Investor-Relations Update – Analystenkonsens, Aktienkursentwicklung, Aktionaersstruktur</w:t>
      </w:r>
    </w:p>
    <w:p>
      <w:pPr>
        <w:pStyle w:val="ListBullet"/>
      </w:pPr>
      <w:r>
        <w:t>HR / Vorstandsthemen – Nachbesetzungen, Talentprogramme</w:t>
      </w:r>
    </w:p>
    <w:p>
      <w:pPr>
        <w:pStyle w:val="Heading3"/>
      </w:pPr>
      <w:r>
        <w:t>Finanzkennzahlen Konzern (IFRS, Mio.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</w:t>
            </w:r>
          </w:p>
        </w:tc>
        <w:tc>
          <w:tcPr>
            <w:tcW w:type="dxa" w:w="1728"/>
          </w:tcPr>
          <w:p>
            <w:r>
              <w:t>Q2/2023 Ist</w:t>
            </w:r>
          </w:p>
        </w:tc>
        <w:tc>
          <w:tcPr>
            <w:tcW w:type="dxa" w:w="1728"/>
          </w:tcPr>
          <w:p>
            <w:r>
              <w:t>Q2/2023 Plan</w:t>
            </w:r>
          </w:p>
        </w:tc>
        <w:tc>
          <w:tcPr>
            <w:tcW w:type="dxa" w:w="1728"/>
          </w:tcPr>
          <w:p>
            <w:r>
              <w:t>Vorjahr</w:t>
            </w:r>
          </w:p>
        </w:tc>
        <w:tc>
          <w:tcPr>
            <w:tcW w:type="dxa" w:w="1728"/>
          </w:tcPr>
          <w:p>
            <w:r>
              <w:t>FY Forecast</w:t>
            </w:r>
          </w:p>
        </w:tc>
      </w:tr>
      <w:tr>
        <w:tc>
          <w:tcPr>
            <w:tcW w:type="dxa" w:w="1728"/>
          </w:tcPr>
          <w:p>
            <w:r>
              <w:t>Umsatz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612</w:t>
            </w:r>
          </w:p>
        </w:tc>
      </w:tr>
      <w:tr>
        <w:tc>
          <w:tcPr>
            <w:tcW w:type="dxa" w:w="1728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18,4</w:t>
            </w:r>
          </w:p>
        </w:tc>
        <w:tc>
          <w:tcPr>
            <w:tcW w:type="dxa" w:w="1728"/>
          </w:tcPr>
          <w:p>
            <w:r>
              <w:t>18,0</w:t>
            </w:r>
          </w:p>
        </w:tc>
        <w:tc>
          <w:tcPr>
            <w:tcW w:type="dxa" w:w="1728"/>
          </w:tcPr>
          <w:p>
            <w:r>
              <w:t>17,1</w:t>
            </w:r>
          </w:p>
        </w:tc>
        <w:tc>
          <w:tcPr>
            <w:tcW w:type="dxa" w:w="1728"/>
          </w:tcPr>
          <w:p>
            <w:r>
              <w:t>74,3</w:t>
            </w:r>
          </w:p>
        </w:tc>
      </w:tr>
      <w:tr>
        <w:tc>
          <w:tcPr>
            <w:tcW w:type="dxa" w:w="1728"/>
          </w:tcPr>
          <w:p>
            <w:r>
              <w:t>EBITDA-Marge %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  <w:tc>
          <w:tcPr>
            <w:tcW w:type="dxa" w:w="1728"/>
          </w:tcPr>
          <w:p>
            <w:r>
              <w:t>12,0</w:t>
            </w:r>
          </w:p>
        </w:tc>
        <w:tc>
          <w:tcPr>
            <w:tcW w:type="dxa" w:w="1728"/>
          </w:tcPr>
          <w:p>
            <w:r>
              <w:t>11,8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</w:tr>
      <w:tr>
        <w:tc>
          <w:tcPr>
            <w:tcW w:type="dxa" w:w="1728"/>
          </w:tcPr>
          <w:p>
            <w:r>
              <w:t>Net Debt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175</w:t>
            </w:r>
          </w:p>
        </w:tc>
      </w:tr>
      <w:tr>
        <w:tc>
          <w:tcPr>
            <w:tcW w:type="dxa" w:w="1728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14,2</w:t>
            </w:r>
          </w:p>
        </w:tc>
        <w:tc>
          <w:tcPr>
            <w:tcW w:type="dxa" w:w="1728"/>
          </w:tcPr>
          <w:p>
            <w:r>
              <w:t>16,5</w:t>
            </w:r>
          </w:p>
        </w:tc>
        <w:tc>
          <w:tcPr>
            <w:tcW w:type="dxa" w:w="1728"/>
          </w:tcPr>
          <w:p>
            <w:r>
              <w:t>12,8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</w:tbl>
    <w:p>
      <w:pPr>
        <w:pStyle w:val="Heading3"/>
      </w:pPr>
      <w:r>
        <w:t>Operative Lage</w:t>
      </w:r>
    </w:p>
    <w:p>
      <w:r>
        <w:t>Die operative Lage des Konzerns ist im Berichtsquartal stabil. Die Werke in Heilbronn (REG), Katowice (RPL), Brno (RCZ) und Gyoer (RHU) laufen im geplanten Auslastungskorridor (82–94 %). Werk Heilbronn meldet einen Anstieg der OEE auf 86 % (Vorquartal 83 %). Das RSG-Team in Muenchen liegt bei der ASPICE-Level-3-Zertifizierung im Plan (geplantes Audit Q4). Das Asien-Geschaeft (RCN Shanghai) zeigt nach wie vor Verzoegerungen bei lokalen Tier-2-Lieferanten infolge der Halbleiter-Allokation.</w:t>
      </w:r>
    </w:p>
    <w:p>
      <w:pPr>
        <w:pStyle w:val="Heading3"/>
      </w:pPr>
      <w:r>
        <w:t>Beschluesse / Action Items</w:t>
      </w:r>
    </w:p>
    <w:p>
      <w:pPr>
        <w:pStyle w:val="ListBullet"/>
      </w:pPr>
      <w:r>
        <w:t>V-2023-Q2-001: Freigabe Investitionsantrag Werk Heilbronn (Capex 4,8 Mio. EUR).</w:t>
      </w:r>
    </w:p>
    <w:p>
      <w:pPr>
        <w:pStyle w:val="ListBullet"/>
      </w:pPr>
      <w:r>
        <w:t>V-2023-Q2-002: Beauftragung KPMG mit Pruefungsschwerpunkten 2023.</w:t>
      </w:r>
    </w:p>
    <w:p>
      <w:pPr>
        <w:pStyle w:val="ListBullet"/>
      </w:pPr>
      <w:r>
        <w:t>V-2023-Q2-003: Genehmigung Dienstreise-Plan COO Asien (Sept./Okt.).</w:t>
      </w:r>
    </w:p>
    <w:p>
      <w:pPr>
        <w:pStyle w:val="ListBullet"/>
      </w:pPr>
      <w:r>
        <w:t>V-2023-Q2-004: Vorlage CSRD-Roadmap an Pruefungsausschuss bis Ende Folgequartal.</w:t>
      </w:r>
    </w:p>
    <w:p>
      <w:pPr>
        <w:pStyle w:val="Heading3"/>
      </w:pPr>
      <w:r>
        <w:t>Risiken und Compliance</w:t>
      </w:r>
    </w:p>
    <w:p>
      <w:r>
        <w:t>Wesentliche Risiken: (a) Halbleiter-Allokation NXP/Infineon bis Mitte des Folgejahres; (b) FX-Exposure PLN/CZK/HUF teilweise gehedged (siehe FX-Hedge-Quartalsbericht); (c) regulatorische Vorgaben UNECE R155/R156 (Cybersecurity) und ISO 21434 in Umsetzung; (d) CSRD-Vorbereitung GJ 2024. Compliance: Keine wesentlichen Vorfaelle im Quartal.</w:t>
      </w:r>
    </w:p>
    <w:p>
      <w:pPr>
        <w:pStyle w:val="Heading3"/>
      </w:pPr>
      <w:r>
        <w:t>Naechste Schritte</w:t>
      </w:r>
    </w:p>
    <w:p>
      <w:r>
        <w:t>Naechste Vorstandssitzung gemaess Jahresplan; Folgevorlage an den Aufsichtsrat erfolgt fristgerecht. Strategiepapier-Revision wird im Q3 im Strategieausschuss aufgesetzt. Investorentag 2024 ist in Vorbereitung (Termin und Format wird durch IR/CFO kommuniziert).</w:t>
      </w:r>
    </w:p>
    <w:p>
      <w:pPr>
        <w:pStyle w:val="Heading3"/>
      </w:pPr>
      <w:r>
        <w:t>Anhang / Verweise</w:t>
      </w:r>
    </w:p>
    <w:p>
      <w:pPr>
        <w:pStyle w:val="ListBullet"/>
      </w:pPr>
      <w:r>
        <w:t>Anhang A: Detaillierte Werks-OEE-Reports (REG, RPL, RCZ, RHU)</w:t>
      </w:r>
    </w:p>
    <w:p>
      <w:pPr>
        <w:pStyle w:val="ListBullet"/>
      </w:pPr>
      <w:r>
        <w:t>Anhang B: Konzern-Covenant-Compliance-Auszug (siehe REA_Covenant_Compliance_*)</w:t>
      </w:r>
    </w:p>
    <w:p>
      <w:pPr>
        <w:pStyle w:val="ListBullet"/>
      </w:pPr>
      <w:r>
        <w:t>Anhang C: FX-Hedge-Report (siehe REA_FX_Hedge_*)</w:t>
      </w:r>
    </w:p>
    <w:p>
      <w:pPr>
        <w:pStyle w:val="ListBullet"/>
      </w:pPr>
      <w:r>
        <w:t>Anhang D: Capital Allocation Framework 2023 (siehe REA_Capital_Allocation_Framework_2023)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