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Wettbewerbsanalyse: Magna International</w:t>
      </w:r>
    </w:p>
    <w:p>
      <w:pPr>
        <w:jc w:val="center"/>
      </w:pPr>
      <w:r>
        <w:t>Vertraulicher Analyse-Report – Strategie / Business Development – 2023</w:t>
      </w:r>
    </w:p>
    <w:p/>
    <w:p>
      <w:pPr>
        <w:pStyle w:val="Heading3"/>
      </w:pPr>
      <w:r>
        <w:t>Executive Summary</w:t>
      </w:r>
    </w:p>
    <w:p>
      <w:r>
        <w:t>Die vorliegende Wettbewerbsanalyse beleuchtet das Unternehmen Magna International (Sitz: Aurora, Ontario (CA)) als Tier-1- / Tier-2-Wettbewerber der Brennhagen Elektronik AG in den Segmenten Body Exteriors &amp; Structures, Power &amp; Vision, Seating Systems, Complete Vehicles. Sie wurde durch die Strategieabteilung in Abstimmung mit Roland Berger (extern) erstellt und dient als Grundlage fuer die strategische Positionierung des Konzerns sowie als Input fuer die OEM-Account-Strategie der Vertriebsorganisation. Konzernumsatz Magna International GJ 2022: ca. 37,8 Mrd. EUR; ausgewiesene EBIT-Marge: ca. 4,8 %.</w:t>
      </w:r>
    </w:p>
    <w:p>
      <w:pPr>
        <w:pStyle w:val="Heading3"/>
      </w:pPr>
      <w:r>
        <w:t>Unternehmensprofil</w:t>
      </w:r>
    </w:p>
    <w:p>
      <w:r>
        <w:t>Magna International ist ein etablierter Marktteilnehmer mit globaler Aufstellung (Hauptsitz Aurora, Ontario (CA)) und Aktivitaeten in mehr als 25 Laendern. Das Unternehmen bedient die Premium-OEMs in Europa und Nordamerika und investiert ueberdurchschnittlich in Forschung und Entwicklung (FuE-Quote 5–8 % vom Umsatz). Strategischer Fokus liegt auf den Wachstumsfeldern Elektrifizierung, ADAS, Konnektivitaet und Software-defined Vehicle.</w:t>
      </w:r>
    </w:p>
    <w:p>
      <w:pPr>
        <w:pStyle w:val="Heading3"/>
      </w:pPr>
      <w:r>
        <w:t>Geschaeftsfelder und Produkte</w:t>
      </w:r>
    </w:p>
    <w:p>
      <w:r>
        <w:t>Die Geschaeftsfelder umfassen unter anderem: Body Exteriors &amp; Structures, Power &amp; Vision, Seating Systems, Complete Vehicles. Insbesondere im Bereich Batteriemanagement und ADAS-Sensorik bestehen direkte Ueberschneidungen mit dem Brennhagen-Portfolio (BMS-12, ADAS-V4D). Im Bereich Infotainment (ICP-3) bestehen weiterhin teilweise Ueberschneidungen mit dem Software-Stack des Wettbewerbers.</w:t>
      </w:r>
    </w:p>
    <w:p>
      <w:pPr>
        <w:pStyle w:val="Heading3"/>
      </w:pPr>
      <w:r>
        <w:t>Staerken / Wettbewerbsvorteile</w:t>
      </w:r>
    </w:p>
    <w:p>
      <w:pPr>
        <w:pStyle w:val="ListBullet"/>
      </w:pPr>
      <w:r>
        <w:t>Breite Wertschoepfungskette inklusive Komplettfahrzeug-Montage (Magna Steyr).</w:t>
      </w:r>
    </w:p>
    <w:p>
      <w:pPr>
        <w:pStyle w:val="ListBullet"/>
      </w:pPr>
      <w:r>
        <w:t>Marktfuehrer Mirror/Camera-Module (Magna Mirrors).</w:t>
      </w:r>
    </w:p>
    <w:p>
      <w:pPr>
        <w:pStyle w:val="ListBullet"/>
      </w:pPr>
      <w:r>
        <w:t>Strategische Partnerschaften mit BMW (Spartanburg), Toyota (Onnaing).</w:t>
      </w:r>
    </w:p>
    <w:p>
      <w:pPr>
        <w:pStyle w:val="Heading3"/>
      </w:pPr>
      <w:r>
        <w:t>Schwaechen / Verwundbarkeiten</w:t>
      </w:r>
    </w:p>
    <w:p>
      <w:pPr>
        <w:pStyle w:val="ListBullet"/>
      </w:pPr>
      <w:r>
        <w:t>Niedrige Software-Anteil – kaum SDV-Strategie sichtbar.</w:t>
      </w:r>
    </w:p>
    <w:p>
      <w:pPr>
        <w:pStyle w:val="ListBullet"/>
      </w:pPr>
      <w:r>
        <w:t>Profitabilitaet auf Konzernebene gedrueckt (Body Exteriors).</w:t>
      </w:r>
    </w:p>
    <w:p>
      <w:pPr>
        <w:pStyle w:val="ListBullet"/>
      </w:pPr>
      <w:r>
        <w:t>Begrenzte BMS-Kompetenz.</w:t>
      </w:r>
    </w:p>
    <w:p>
      <w:pPr>
        <w:pStyle w:val="Heading3"/>
      </w:pPr>
      <w:r>
        <w:t>Bedrohungspotenzial fuer REA</w:t>
      </w:r>
    </w:p>
    <w:p>
      <w:r>
        <w:t>Magna konkurriert peripher in ADAS-Sensorik (Magna Electronics). Bedrohungsgrad: mittel. Beobachtung in Camera-/Mirror-Modulen, geringe Ueberschneidung mit BMS-12.</w:t>
      </w:r>
    </w:p>
    <w:p>
      <w:pPr>
        <w:pStyle w:val="Heading3"/>
      </w:pPr>
      <w:r>
        <w:t>Empfohlene Massnahmen</w:t>
      </w:r>
    </w:p>
    <w:p>
      <w:pPr>
        <w:pStyle w:val="ListBullet"/>
      </w:pPr>
      <w:r>
        <w:t>Account-spezifische Differenzierungsstrategie schaerfen (Vertriebs-Playbook BMW/Mercedes/VW).</w:t>
      </w:r>
    </w:p>
    <w:p>
      <w:pPr>
        <w:pStyle w:val="ListBullet"/>
      </w:pPr>
      <w:r>
        <w:t>Verstaerkung der RSG-Softwarekompetenz (ASPICE Level 3, ISO 21434).</w:t>
      </w:r>
    </w:p>
    <w:p>
      <w:pPr>
        <w:pStyle w:val="ListBullet"/>
      </w:pPr>
      <w:r>
        <w:t>Pruefung gezielter Co-Investitionen mit Lead-Customers in BMS-12.2 (800 V).</w:t>
      </w:r>
    </w:p>
    <w:p>
      <w:pPr>
        <w:pStyle w:val="ListBullet"/>
      </w:pPr>
      <w:r>
        <w:t>Monitoring der Akquisitionsaktivitaeten des Wettbewerbers ueber Goldman Sachs.</w:t>
      </w:r>
    </w:p>
    <w:p>
      <w:pPr>
        <w:pStyle w:val="ListBullet"/>
      </w:pPr>
      <w:r>
        <w:t>Patent-Watch durch Konzern-IP-Office (Werk Heilbronn) intensivieren.</w:t>
      </w:r>
    </w:p>
    <w:p>
      <w:pPr>
        <w:pStyle w:val="Heading3"/>
      </w:pPr>
      <w:r>
        <w:t>Quellen und Stichtag</w:t>
      </w:r>
    </w:p>
    <w:p>
      <w:r>
        <w:t>Quellen: Geschaeftsberichte des Wettbewerbers (2020–2022), S&amp;P Capital IQ, Bloomberg, Roland Berger Marktstudie 2023, eigene OEM-Befragungen (BMW, Mercedes-Benz, VW). Stichtag: 30. September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