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ZF Friedrichshafen AG</w:t>
      </w:r>
    </w:p>
    <w:p>
      <w:pPr>
        <w:jc w:val="center"/>
      </w:pPr>
      <w:r>
        <w:t>Vertraulicher Analyse-Report – Strategie / Business Development – 2023</w:t>
      </w:r>
    </w:p>
    <w:p/>
    <w:p>
      <w:pPr>
        <w:pStyle w:val="Heading3"/>
      </w:pPr>
      <w:r>
        <w:t>Executive Summary</w:t>
      </w:r>
    </w:p>
    <w:p>
      <w:r>
        <w:t>Die vorliegende Wettbewerbsanalyse beleuchtet das Unternehmen ZF Friedrichshafen AG (Sitz: Friedrichshafen) als Tier-1- / Tier-2-Wettbewerber der Brennhagen Elektronik AG in den Segmenten Passive Safety, Vehicle Motion Control, Electrified Powertrain, ADAS, Industrial Tech. Sie wurde durch die Strategieabteilung in Abstimmung mit Roland Berger (extern) erstellt und dient als Grundlage fuer die strategische Positionierung des Konzerns sowie als Input fuer die OEM-Account-Strategie der Vertriebsorganisation. Konzernumsatz ZF Friedrichshafen AG GJ 2022: ca. 43,8 Mrd. EUR; ausgewiesene EBIT-Marge: ca. 3,9 %.</w:t>
      </w:r>
    </w:p>
    <w:p>
      <w:pPr>
        <w:pStyle w:val="Heading3"/>
      </w:pPr>
      <w:r>
        <w:t>Unternehmensprofil</w:t>
      </w:r>
    </w:p>
    <w:p>
      <w:r>
        <w:t>ZF Friedrichshafen AG ist ein etablierter Marktteilnehmer mit globaler Aufstellung (Hauptsitz Friedrichshafen)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Passive Safety, Vehicle Motion Control, Electrified Powertrain, ADAS, Industrial Tech.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Marktfuehrer Lenkung / Bremsen / Fahrwerk-Elektronik.</w:t>
      </w:r>
    </w:p>
    <w:p>
      <w:pPr>
        <w:pStyle w:val="ListBullet"/>
      </w:pPr>
      <w:r>
        <w:t>Hohe FuE-Investitionen in zFAS (zentraler Fahrcomputer).</w:t>
      </w:r>
    </w:p>
    <w:p>
      <w:pPr>
        <w:pStyle w:val="ListBullet"/>
      </w:pPr>
      <w:r>
        <w:t>Akquisitionen WABCO, TRW – breites Portfolio.</w:t>
      </w:r>
    </w:p>
    <w:p>
      <w:pPr>
        <w:pStyle w:val="Heading3"/>
      </w:pPr>
      <w:r>
        <w:t>Schwaechen / Verwundbarkeiten</w:t>
      </w:r>
    </w:p>
    <w:p>
      <w:pPr>
        <w:pStyle w:val="ListBullet"/>
      </w:pPr>
      <w:r>
        <w:t>Hohe Verschuldung nach WABCO-Akquisition.</w:t>
      </w:r>
    </w:p>
    <w:p>
      <w:pPr>
        <w:pStyle w:val="ListBullet"/>
      </w:pPr>
      <w:r>
        <w:t>Restrukturierungsdruck Powertrain (Diesel).</w:t>
      </w:r>
    </w:p>
    <w:p>
      <w:pPr>
        <w:pStyle w:val="ListBullet"/>
      </w:pPr>
      <w:r>
        <w:t>Software-/SDV-Position im Aufbau.</w:t>
      </w:r>
    </w:p>
    <w:p>
      <w:pPr>
        <w:pStyle w:val="Heading3"/>
      </w:pPr>
      <w:r>
        <w:t>Bedrohungspotenzial fuer REA</w:t>
      </w:r>
    </w:p>
    <w:p>
      <w:r>
        <w:t>ZF ist im ADAS-Domain-Controller (zFAS) direkter Wettbewerber. Bedrohungsgrad: hoch. AR-Vorsitz Dr. Steinbrueck war frueher CEO ZF Friedrichshafen – Conflict-of-Interest-Prozesse beachten.</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