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Konzern-interne Rechnung RSG → REA (Maerz 2020) – Beleg-Nacherfassung</w:t>
      </w:r>
    </w:p>
    <w:p>
      <w:pPr>
        <w:jc w:val="center"/>
      </w:pPr>
      <w:r>
        <w:t>Brennhagen Software GmbH (RSG) an Brennhagen Elektronik AG (REA) – Beleg-Wiedererstellung im Rahmen TP-Documentation</w:t>
      </w:r>
    </w:p>
    <w:p/>
    <w:p>
      <w:pPr>
        <w:pStyle w:val="Heading3"/>
      </w:pPr>
      <w:r>
        <w:t>Rechnungsangaben</w:t>
      </w:r>
    </w:p>
    <w:p>
      <w:r>
        <w:t>Rechnungsnummer: RSG-IC-2020-03-014. Rechnungsdatum: 31. Maerz 2020. Leistungsempfaenger: Brennhagen Elektronik AG, Vaihinger Strasse 120, 70567 Stuttgart. Leistungserbringer: Brennhagen Software GmbH, Schillerstrasse 18, 80336 Muenchen. USt-IdNr REA: DE 287 654 321; USt-IdNr RSG: DE 295 432 109.</w:t>
      </w:r>
    </w:p>
    <w:p>
      <w:pPr>
        <w:pStyle w:val="Heading3"/>
      </w:pPr>
      <w:r>
        <w:t>Leistungsgegenstand</w:t>
      </w:r>
    </w:p>
    <w:p>
      <w:pPr>
        <w:pStyle w:val="ListBullet"/>
      </w:pPr>
      <w:r>
        <w:t>Embedded-Software-Entwicklung ICP-3 Release 2.1 (BMW MGU2-Adaptation): 1.840 Engineering-Stunden.</w:t>
      </w:r>
    </w:p>
    <w:p>
      <w:pPr>
        <w:pStyle w:val="ListBullet"/>
      </w:pPr>
      <w:r>
        <w:t>ASPICE-Konformitaets-Dokumentation: 320 Stunden.</w:t>
      </w:r>
    </w:p>
    <w:p>
      <w:pPr>
        <w:pStyle w:val="ListBullet"/>
      </w:pPr>
      <w:r>
        <w:t>Code-Review Premium-OEM-Spec (Mercedes-Benz MBN): 240 Stunden.</w:t>
      </w:r>
    </w:p>
    <w:p>
      <w:pPr>
        <w:pStyle w:val="ListBullet"/>
      </w:pPr>
      <w:r>
        <w:t>Cybersecurity-TARA-Vorbereitung (ISO 21434): 180 Stunden.</w:t>
      </w:r>
    </w:p>
    <w:p>
      <w:pPr>
        <w:pStyle w:val="Heading3"/>
      </w:pPr>
      <w:r>
        <w:t>Verrechnungspreis und Steuer</w:t>
      </w:r>
    </w:p>
    <w:p>
      <w:pPr>
        <w:pStyle w:val="ListBullet"/>
      </w:pPr>
      <w:r>
        <w:t>Verrechnungspreissatz Engineering: 138 EUR/Std. (Cost-Plus-Methode, +9 % Margenaufschlag).</w:t>
      </w:r>
    </w:p>
    <w:p>
      <w:pPr>
        <w:pStyle w:val="ListBullet"/>
      </w:pPr>
      <w:r>
        <w:t>Summe Engineering-Stunden: 2.580 × 138 EUR = 356.040 EUR.</w:t>
      </w:r>
    </w:p>
    <w:p>
      <w:pPr>
        <w:pStyle w:val="ListBullet"/>
      </w:pPr>
      <w:r>
        <w:t>Reisekosten und Spesen (durchlaufend): 4.860 EUR.</w:t>
      </w:r>
    </w:p>
    <w:p>
      <w:pPr>
        <w:pStyle w:val="ListBullet"/>
      </w:pPr>
      <w:r>
        <w:t>Zwischensumme netto: 360.900 EUR.</w:t>
      </w:r>
    </w:p>
    <w:p>
      <w:pPr>
        <w:pStyle w:val="ListBullet"/>
      </w:pPr>
      <w:r>
        <w:t>Umsatzsteuer 19 % (innergemeinschaftlich, beide DE): 68.571 EUR.</w:t>
      </w:r>
    </w:p>
    <w:p>
      <w:pPr>
        <w:pStyle w:val="ListBullet"/>
      </w:pPr>
      <w:r>
        <w:t>Rechnungsbetrag brutto: 429.471 EUR.</w:t>
      </w:r>
    </w:p>
    <w:p>
      <w:pPr>
        <w:pStyle w:val="ListBullet"/>
      </w:pPr>
      <w:r>
        <w:t>Faelligkeit: 30. April 2020 (Konzern-Standard-Zahlungsziel 30 Tage).</w:t>
      </w:r>
    </w:p>
    <w:p>
      <w:pPr>
        <w:pStyle w:val="Heading3"/>
      </w:pPr>
      <w:r>
        <w:t>Hintergrund Nacherfassung</w:t>
      </w:r>
    </w:p>
    <w:p>
      <w:r>
        <w:t>Im Rahmen der TP-Dokumentation 2020 (Local File) wurde festgestellt, dass die Originalrechnung nicht ordnungsgemaess im SAP-System archiviert wurde. Die vorliegende Beleg-Wiedererstellung dient der vollstaendigen TP-Dokumentation gemaess § 90 Abs. 3 AO und der OECD-TP-Guidelines. Sie wurde durch Group Tax Director Dr. Heike Berger autorisiert und durch die Wirtschaftspruefung KPMG (Lead Partner Dr. Maximilian Brand) im Rahmen der GJ 2020-Pruefung zur Kenntnis genommen.</w:t>
      </w:r>
    </w:p>
    <w:p>
      <w:pPr>
        <w:pStyle w:val="Heading3"/>
      </w:pPr>
      <w:r>
        <w:t>Freigabe</w:t>
      </w:r>
    </w:p>
    <w:p>
      <w:r>
        <w:t>Ort, Datum: Stuttgart, den 15. September 2023</w:t>
      </w:r>
    </w:p>
    <w:p>
      <w:r>
        <w:t>_________________________            _________________________</w:t>
        <w:br/>
        <w:t>Florian Maier                          Dr. Heike Berger</w:t>
        <w:br/>
        <w:t>Group Controller                          Group Tax Director</w:t>
        <w:br/>
        <w:t>Brennhagen Elektronik AG                       Brennhagen Elektronik AG</w:t>
      </w:r>
    </w:p>
    <w:p>
      <w:pPr>
        <w:pStyle w:val="Heading3"/>
      </w:pPr>
      <w:r>
        <w:t>Versionierung und Verteiler</w:t>
      </w:r>
    </w:p>
    <w:p>
      <w:r>
        <w:t>Version 1.0 / Stand 15. September 2023. Verteiler: Vorstand der Brennhagen Elektronik AG, Aufsichtsrats-Vorsitz (Dr. Klaus Steinbrueck), Pruefungsausschuss-Vorsitz (Prof. Dr.-Ing. Gerhard Voss), Group Compliance Office, Schriftfuehrerin Dr. Veronika Steiner.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