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Funktionstest EOL Pruefbericht – BMS-12 EV-Plattform</w:t>
      </w:r>
    </w:p>
    <w:p/>
    <w:p>
      <w:pPr>
        <w:pStyle w:val="Heading3"/>
      </w:pPr>
      <w:r>
        <w:t>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Projekt-Nr.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Pruefling</w:t>
            </w:r>
          </w:p>
        </w:tc>
        <w:tc>
          <w:tcPr>
            <w:tcW w:type="dxa" w:w="4320"/>
          </w:tcPr>
          <w:p>
            <w:r>
              <w:t>BMS-12 EV-Plattform, Hardware-Variante HV3.2, Software v1.1.4-RC2</w:t>
            </w:r>
          </w:p>
        </w:tc>
      </w:tr>
      <w:tr>
        <w:tc>
          <w:tcPr>
            <w:tcW w:type="dxa" w:w="4320"/>
          </w:tcPr>
          <w:p>
            <w:r>
              <w:t>Pruefart</w:t>
            </w:r>
          </w:p>
        </w:tc>
        <w:tc>
          <w:tcPr>
            <w:tcW w:type="dxa" w:w="4320"/>
          </w:tcPr>
          <w:p>
            <w:r>
              <w:t>Funktionstest EOL (End-of-Line) Linie 4 REG Heilbronn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12.-14. September 2022</w:t>
            </w:r>
          </w:p>
        </w:tc>
      </w:tr>
      <w:tr>
        <w:tc>
          <w:tcPr>
            <w:tcW w:type="dxa" w:w="4320"/>
          </w:tcPr>
          <w:p>
            <w:r>
              <w:t>Pruefer</w:t>
            </w:r>
          </w:p>
        </w:tc>
        <w:tc>
          <w:tcPr>
            <w:tcW w:type="dxa" w:w="4320"/>
          </w:tcPr>
          <w:p>
            <w:r>
              <w:t>Sabine Brand (Q-Leitung REG), Markus Reiter (PV), Lars Wittmann (PL Software)</w:t>
            </w:r>
          </w:p>
        </w:tc>
      </w:tr>
      <w:tr>
        <w:tc>
          <w:tcPr>
            <w:tcW w:type="dxa" w:w="4320"/>
          </w:tcPr>
          <w:p>
            <w:r>
              <w:t>Pruefnorm</w:t>
            </w:r>
          </w:p>
        </w:tc>
        <w:tc>
          <w:tcPr>
            <w:tcW w:type="dxa" w:w="4320"/>
          </w:tcPr>
          <w:p>
            <w:r>
              <w:t>ISO 26262-6 (ASIL-D), IEC 61508, Spec BMS-12-FT-2022-09</w:t>
            </w:r>
          </w:p>
        </w:tc>
      </w:tr>
    </w:tbl>
    <w:p>
      <w:pPr>
        <w:pStyle w:val="Heading3"/>
      </w:pPr>
      <w:r>
        <w:t>Pruefumfang</w:t>
      </w:r>
    </w:p>
    <w:p>
      <w:r>
        <w:t>Vollumfaenglicher EOL-Funktionstest aller 12 Cell-Monitoring-Channels, CAN-FD Kommunikation (5 Mbit/s), Insulation Monitoring (Riso &gt; 100 kOhm), Pre-Charge-Logik, Schuetz-Ansteuerung, Diagnose nach UDS. Pruefumfang umfasste 24 Pruefszenarien gemaess Pruefspezifikation BMS-12-FT-2022-09.</w:t>
      </w:r>
    </w:p>
    <w:p>
      <w:pPr>
        <w:pStyle w:val="Heading3"/>
      </w:pPr>
      <w:r>
        <w:t>Pruefergebnisse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Sollwert</w:t>
            </w:r>
          </w:p>
        </w:tc>
        <w:tc>
          <w:tcPr>
            <w:tcW w:type="dxa" w:w="2160"/>
          </w:tcPr>
          <w:p>
            <w:r>
              <w:t>Istwert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Zellspannungsmessgenauigkeit</w:t>
            </w:r>
          </w:p>
        </w:tc>
        <w:tc>
          <w:tcPr>
            <w:tcW w:type="dxa" w:w="2160"/>
          </w:tcPr>
          <w:p>
            <w:r>
              <w:t>± 5 mV @ 3.0-4.2 V</w:t>
            </w:r>
          </w:p>
        </w:tc>
        <w:tc>
          <w:tcPr>
            <w:tcW w:type="dxa" w:w="2160"/>
          </w:tcPr>
          <w:p>
            <w:r>
              <w:t>± 3.8 mV</w:t>
            </w:r>
          </w:p>
        </w:tc>
        <w:tc>
          <w:tcPr>
            <w:tcW w:type="dxa" w:w="2160"/>
          </w:tcPr>
          <w:p>
            <w:r>
              <w:t>i.O.</w:t>
            </w:r>
          </w:p>
        </w:tc>
      </w:tr>
      <w:tr>
        <w:tc>
          <w:tcPr>
            <w:tcW w:type="dxa" w:w="2160"/>
          </w:tcPr>
          <w:p>
            <w:r>
              <w:t>Stromsensor-Linearitaet</w:t>
            </w:r>
          </w:p>
        </w:tc>
        <w:tc>
          <w:tcPr>
            <w:tcW w:type="dxa" w:w="2160"/>
          </w:tcPr>
          <w:p>
            <w:r>
              <w:t>± 0,5 % FS</w:t>
            </w:r>
          </w:p>
        </w:tc>
        <w:tc>
          <w:tcPr>
            <w:tcW w:type="dxa" w:w="2160"/>
          </w:tcPr>
          <w:p>
            <w:r>
              <w:t>± 0,32 % FS</w:t>
            </w:r>
          </w:p>
        </w:tc>
        <w:tc>
          <w:tcPr>
            <w:tcW w:type="dxa" w:w="2160"/>
          </w:tcPr>
          <w:p>
            <w:r>
              <w:t>i.O.</w:t>
            </w:r>
          </w:p>
        </w:tc>
      </w:tr>
      <w:tr>
        <w:tc>
          <w:tcPr>
            <w:tcW w:type="dxa" w:w="2160"/>
          </w:tcPr>
          <w:p>
            <w:r>
              <w:t>CAN-FD Latenz</w:t>
            </w:r>
          </w:p>
        </w:tc>
        <w:tc>
          <w:tcPr>
            <w:tcW w:type="dxa" w:w="2160"/>
          </w:tcPr>
          <w:p>
            <w:r>
              <w:t>&lt; 2 ms</w:t>
            </w:r>
          </w:p>
        </w:tc>
        <w:tc>
          <w:tcPr>
            <w:tcW w:type="dxa" w:w="2160"/>
          </w:tcPr>
          <w:p>
            <w:r>
              <w:t>1,2 ms</w:t>
            </w:r>
          </w:p>
        </w:tc>
        <w:tc>
          <w:tcPr>
            <w:tcW w:type="dxa" w:w="2160"/>
          </w:tcPr>
          <w:p>
            <w:r>
              <w:t>i.O.</w:t>
            </w:r>
          </w:p>
        </w:tc>
      </w:tr>
      <w:tr>
        <w:tc>
          <w:tcPr>
            <w:tcW w:type="dxa" w:w="2160"/>
          </w:tcPr>
          <w:p>
            <w:r>
              <w:t>Insulation Detection</w:t>
            </w:r>
          </w:p>
        </w:tc>
        <w:tc>
          <w:tcPr>
            <w:tcW w:type="dxa" w:w="2160"/>
          </w:tcPr>
          <w:p>
            <w:r>
              <w:t>&lt; 100 ms</w:t>
            </w:r>
          </w:p>
        </w:tc>
        <w:tc>
          <w:tcPr>
            <w:tcW w:type="dxa" w:w="2160"/>
          </w:tcPr>
          <w:p>
            <w:r>
              <w:t>85 ms</w:t>
            </w:r>
          </w:p>
        </w:tc>
        <w:tc>
          <w:tcPr>
            <w:tcW w:type="dxa" w:w="2160"/>
          </w:tcPr>
          <w:p>
            <w:r>
              <w:t>i.O.</w:t>
            </w:r>
          </w:p>
        </w:tc>
      </w:tr>
      <w:tr>
        <w:tc>
          <w:tcPr>
            <w:tcW w:type="dxa" w:w="2160"/>
          </w:tcPr>
          <w:p>
            <w:r>
              <w:t>Pre-Charge Time</w:t>
            </w:r>
          </w:p>
        </w:tc>
        <w:tc>
          <w:tcPr>
            <w:tcW w:type="dxa" w:w="2160"/>
          </w:tcPr>
          <w:p>
            <w:r>
              <w:t>200-300 ms</w:t>
            </w:r>
          </w:p>
        </w:tc>
        <w:tc>
          <w:tcPr>
            <w:tcW w:type="dxa" w:w="2160"/>
          </w:tcPr>
          <w:p>
            <w:r>
              <w:t>245 ms</w:t>
            </w:r>
          </w:p>
        </w:tc>
        <w:tc>
          <w:tcPr>
            <w:tcW w:type="dxa" w:w="2160"/>
          </w:tcPr>
          <w:p>
            <w:r>
              <w:t>i.O.</w:t>
            </w:r>
          </w:p>
        </w:tc>
      </w:tr>
      <w:tr>
        <w:tc>
          <w:tcPr>
            <w:tcW w:type="dxa" w:w="2160"/>
          </w:tcPr>
          <w:p>
            <w:r>
              <w:t>Schuetz-Schaltzeit</w:t>
            </w:r>
          </w:p>
        </w:tc>
        <w:tc>
          <w:tcPr>
            <w:tcW w:type="dxa" w:w="2160"/>
          </w:tcPr>
          <w:p>
            <w:r>
              <w:t>&lt; 15 ms</w:t>
            </w:r>
          </w:p>
        </w:tc>
        <w:tc>
          <w:tcPr>
            <w:tcW w:type="dxa" w:w="2160"/>
          </w:tcPr>
          <w:p>
            <w:r>
              <w:t>12,3 ms</w:t>
            </w:r>
          </w:p>
        </w:tc>
        <w:tc>
          <w:tcPr>
            <w:tcW w:type="dxa" w:w="2160"/>
          </w:tcPr>
          <w:p>
            <w:r>
              <w:t>i.O.</w:t>
            </w:r>
          </w:p>
        </w:tc>
      </w:tr>
      <w:tr>
        <w:tc>
          <w:tcPr>
            <w:tcW w:type="dxa" w:w="2160"/>
          </w:tcPr>
          <w:p>
            <w:r>
              <w:t>Temperaturmessung</w:t>
            </w:r>
          </w:p>
        </w:tc>
        <w:tc>
          <w:tcPr>
            <w:tcW w:type="dxa" w:w="2160"/>
          </w:tcPr>
          <w:p>
            <w:r>
              <w:t>± 2 K @ -20...+60°C</w:t>
            </w:r>
          </w:p>
        </w:tc>
        <w:tc>
          <w:tcPr>
            <w:tcW w:type="dxa" w:w="2160"/>
          </w:tcPr>
          <w:p>
            <w:r>
              <w:t>± 1,7 K</w:t>
            </w:r>
          </w:p>
        </w:tc>
        <w:tc>
          <w:tcPr>
            <w:tcW w:type="dxa" w:w="2160"/>
          </w:tcPr>
          <w:p>
            <w:r>
              <w:t>i.O.</w:t>
            </w:r>
          </w:p>
        </w:tc>
      </w:tr>
      <w:tr>
        <w:tc>
          <w:tcPr>
            <w:tcW w:type="dxa" w:w="2160"/>
          </w:tcPr>
          <w:p>
            <w:r>
              <w:t>UDS Sec-Access</w:t>
            </w:r>
          </w:p>
        </w:tc>
        <w:tc>
          <w:tcPr>
            <w:tcW w:type="dxa" w:w="2160"/>
          </w:tcPr>
          <w:p>
            <w:r>
              <w:t>ISO 14229</w:t>
            </w:r>
          </w:p>
        </w:tc>
        <w:tc>
          <w:tcPr>
            <w:tcW w:type="dxa" w:w="2160"/>
          </w:tcPr>
          <w:p>
            <w:r>
              <w:t>konform</w:t>
            </w:r>
          </w:p>
        </w:tc>
        <w:tc>
          <w:tcPr>
            <w:tcW w:type="dxa" w:w="2160"/>
          </w:tcPr>
          <w:p>
            <w:r>
              <w:t>i.O.</w:t>
            </w:r>
          </w:p>
        </w:tc>
      </w:tr>
    </w:tbl>
    <w:p>
      <w:pPr>
        <w:pStyle w:val="Heading3"/>
      </w:pPr>
      <w:r>
        <w:t>Befunde und Massnahmen</w:t>
      </w:r>
    </w:p>
    <w:p>
      <w:r>
        <w:t>Befund 1 (minor): Aufwaermphase Cell-Monitoring-IC dauert 480 ms statt spezifizierten 400 ms (delta +20 %). Massnahme: Anpassung der Spec-Toleranz auf 500 ms bei naechstem Release. Befund 2 (info): Kommunikationsfehler bei einmaliger CAN-Bus-Stoerung von 250 ms Dauer; Recovery innerhalb von 80 ms. Spec entspricht.</w:t>
      </w:r>
    </w:p>
    <w:p>
      <w:pPr>
        <w:pStyle w:val="Heading3"/>
      </w:pPr>
      <w:r>
        <w:t>Pruefurteil</w:t>
      </w:r>
    </w:p>
    <w:p>
      <w:r>
        <w:t>Der Pruefling erfuellt alle wesentlichen Anforderungen der Pruefspezifikation. Empfehlung: Freigabe fuer Pilot-Serienfertigung (PPAP-Level 3) mit Auflage zur Anpassung der Aufwaermzeit-Toleranz in Release v1.1.5.</w:t>
      </w:r>
    </w:p>
    <w:p>
      <w:pPr>
        <w:pStyle w:val="Heading3"/>
      </w:pPr>
      <w:r>
        <w:t>Unterschriften</w:t>
      </w:r>
    </w:p>
    <w:p>
      <w:r>
        <w:t>Ort, Datum: Heilbronn, den 15. September 2022</w:t>
      </w:r>
    </w:p>
    <w:p>
      <w:r>
        <w:t>_________________________            _________________________</w:t>
        <w:br/>
        <w:t>Sabine Brand                          Lars Wittmann</w:t>
        <w:br/>
        <w:t>Q-Leitung REG                          Projektleitung Software</w:t>
        <w:br/>
        <w:t>REG Heilbronn                       RSG Muenchen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