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Gate G3 Detailentwicklung – LkSG Supply Chain Audit</w:t>
      </w:r>
    </w:p>
    <w:p/>
    <w:p>
      <w:pPr>
        <w:pStyle w:val="Heading3"/>
      </w:pPr>
      <w:r>
        <w:t>Gate-Daten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Projekt-Nr.</w:t>
            </w:r>
          </w:p>
        </w:tc>
        <w:tc>
          <w:tcPr>
            <w:tcW w:type="dxa" w:w="4320"/>
          </w:tcPr>
          <w:p>
            <w:r>
              <w:t>PRJ-2024-004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LkSG Supply Chain Audit Plattform – Detailentwicklung</w:t>
            </w:r>
          </w:p>
        </w:tc>
      </w:tr>
      <w:tr>
        <w:tc>
          <w:tcPr>
            <w:tcW w:type="dxa" w:w="4320"/>
          </w:tcPr>
          <w:p>
            <w:r>
              <w:t>Gate</w:t>
            </w:r>
          </w:p>
        </w:tc>
        <w:tc>
          <w:tcPr>
            <w:tcW w:type="dxa" w:w="4320"/>
          </w:tcPr>
          <w:p>
            <w:r>
              <w:t>G3 (Ende Detailentwicklung, vor Pilotbetrieb)</w:t>
            </w:r>
          </w:p>
        </w:tc>
      </w:tr>
      <w:tr>
        <w:tc>
          <w:tcPr>
            <w:tcW w:type="dxa" w:w="4320"/>
          </w:tcPr>
          <w:p>
            <w:r>
              <w:t>Datum</w:t>
            </w:r>
          </w:p>
        </w:tc>
        <w:tc>
          <w:tcPr>
            <w:tcW w:type="dxa" w:w="4320"/>
          </w:tcPr>
          <w:p>
            <w:r>
              <w:t>18. April 2024</w:t>
            </w:r>
          </w:p>
        </w:tc>
      </w:tr>
      <w:tr>
        <w:tc>
          <w:tcPr>
            <w:tcW w:type="dxa" w:w="4320"/>
          </w:tcPr>
          <w:p>
            <w:r>
              <w:t>Sponsor</w:t>
            </w:r>
          </w:p>
        </w:tc>
        <w:tc>
          <w:tcPr>
            <w:tcW w:type="dxa" w:w="4320"/>
          </w:tcPr>
          <w:p>
            <w:r>
              <w:t>Dr. Heike Berger (CCO Tax/Compliance)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Buehler (CAE) und Britta Hellmann (Compliance Officer)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1,4 Mio. EUR (kumuliert 1,1 Mio. EUR ausgegeben)</w:t>
            </w:r>
          </w:p>
        </w:tc>
      </w:tr>
    </w:tbl>
    <w:p>
      <w:pPr>
        <w:pStyle w:val="Heading3"/>
      </w:pPr>
      <w:r>
        <w:t>Bewertung der Deliverables</w:t>
      </w:r>
    </w:p>
    <w:p>
      <w:r>
        <w:t>Deliverable D3.1 Risikoanalyse-Modell (alle 5 Werke + 240 Tier-1 Lieferanten) – freigegeben. Deliverable D3.2 Verfahrensanweisung 'Sorgfaltspflichten gemaess LkSG' – freigegeben. Deliverable D3.3 Software-Modul SAP-Ariba Connector – freigegeben mit Auflage Penetration-Test. Deliverable D3.4 Beschwerdeverfahren (Whistleblower-Channel via integrityline.com) – freigegeben.</w:t>
      </w:r>
    </w:p>
    <w:p>
      <w:pPr>
        <w:pStyle w:val="Heading3"/>
      </w:pPr>
      <w:r>
        <w:t>Kriterien G3 Erfuellung</w:t>
      </w:r>
    </w:p>
    <w:p>
      <w:pPr>
        <w:pStyle w:val="ListBullet"/>
      </w:pPr>
      <w:r>
        <w:t>Detailspezifikation vollstaendig und freigegeben (ja).</w:t>
      </w:r>
    </w:p>
    <w:p>
      <w:pPr>
        <w:pStyle w:val="ListBullet"/>
      </w:pPr>
      <w:r>
        <w:t>Risiko-Assessment durchgefuehrt und priorisierter Massnahmenplan vorhanden (ja).</w:t>
      </w:r>
    </w:p>
    <w:p>
      <w:pPr>
        <w:pStyle w:val="ListBullet"/>
      </w:pPr>
      <w:r>
        <w:t>Compliance-Pruefung BAFA-Vorgaben (Bundesamt fuer Wirtschaft und Ausfuhrkontrolle): bestanden.</w:t>
      </w:r>
    </w:p>
    <w:p>
      <w:pPr>
        <w:pStyle w:val="ListBullet"/>
      </w:pPr>
      <w:r>
        <w:t>Anbindung an HR/Beschwerde-Prozesse abgestimmt mit Konzernbetriebsrat (KBR Beschluss vom 12.4.).</w:t>
      </w:r>
    </w:p>
    <w:p>
      <w:pPr>
        <w:pStyle w:val="ListBullet"/>
      </w:pPr>
      <w:r>
        <w:t>Schulungskonzept fuer Einkauf, HR, Compliance verabschiedet (200 MA-Tage 2024).</w:t>
      </w:r>
    </w:p>
    <w:p>
      <w:pPr>
        <w:pStyle w:val="Heading3"/>
      </w:pPr>
      <w:r>
        <w:t>Risiken und Massnahmen</w:t>
      </w:r>
    </w:p>
    <w:p>
      <w:r>
        <w:t>R1 (gelb): Datenqualitaet Lieferantenstammdaten in SAP MM (DE/PL/CZ) heterogen; Massnahme: Cleansing-Projekt mit IT, Frist 30.6.2024. R2 (gruen): Akzeptanz Whistleblower-Kanal in CZ/HU; Massnahme: zusaetzliche lokalsprachliche Schulung. R3 (gelb): BAFA-Update zu Berichtspflichten Q3 2024 – Anpassung notwendig.</w:t>
      </w:r>
    </w:p>
    <w:p>
      <w:pPr>
        <w:pStyle w:val="Heading3"/>
      </w:pPr>
      <w:r>
        <w:t>Entscheidung Gate G3</w:t>
      </w:r>
    </w:p>
    <w:p>
      <w:r>
        <w:t>Der Lenkungskreis (Anna Mueller, Dr. Thomas Weber, Dr. Heike Berger) genehmigt das Gate G3. Freigabe zur Pilotphase ab 1.5.2024 mit 25 ausgewaehlten Tier-1-Lieferanten (BMW-relevant). Vollroll-out ab 1.10.2024.</w:t>
      </w:r>
    </w:p>
    <w:p>
      <w:pPr>
        <w:pStyle w:val="Heading3"/>
      </w:pPr>
      <w:r>
        <w:t>Unterschriften</w:t>
      </w:r>
    </w:p>
    <w:p>
      <w:r>
        <w:t>Ort, Datum: Stuttgart, den 18. April 2024</w:t>
      </w:r>
    </w:p>
    <w:p>
      <w:r>
        <w:t>_________________________            _________________________</w:t>
        <w:br/>
        <w:t>Andreas Buehler                          Dr. Heike Berger</w:t>
        <w:br/>
        <w:t>Projektleitung / CAE                          Sponsor / Group Tax+Compliance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