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Holding GmbH (RHO)</w:t>
      </w:r>
    </w:p>
    <w:p>
      <w:r>
        <w:rPr>
          <w:sz w:val="18"/>
        </w:rPr>
        <w:t>Vaihinger Straße 120, 70567 Stuttgart  |  HRB 726450,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RCN -&gt; RHO – April 2020</w:t>
      </w:r>
    </w:p>
    <w:p/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RCN-IC-2020-0412</w:t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30. April 2020</w:t>
            </w:r>
          </w:p>
        </w:tc>
      </w:tr>
      <w:tr>
        <w:tc>
          <w:tcPr>
            <w:tcW w:type="dxa" w:w="4320"/>
          </w:tcPr>
          <w:p>
            <w:r>
              <w:t>Leistungserbringer</w:t>
            </w:r>
          </w:p>
        </w:tc>
        <w:tc>
          <w:tcPr>
            <w:tcW w:type="dxa" w:w="4320"/>
          </w:tcPr>
          <w:p>
            <w:r>
              <w:t>Brennhagen (Shanghai) Co. Ltd. (RCN), Zhongshan Park, Pudong, Shanghai 200122</w:t>
            </w:r>
          </w:p>
        </w:tc>
      </w:tr>
      <w:tr>
        <w:tc>
          <w:tcPr>
            <w:tcW w:type="dxa" w:w="4320"/>
          </w:tcPr>
          <w:p>
            <w:r>
              <w:t>Empfaenger</w:t>
            </w:r>
          </w:p>
        </w:tc>
        <w:tc>
          <w:tcPr>
            <w:tcW w:type="dxa" w:w="4320"/>
          </w:tcPr>
          <w:p>
            <w:r>
              <w:t>Brennhagen Holding GmbH (RHO), Vaihinger Strasse 120, 70567 Stuttgart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01.-30. April 2020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EUR (Funktionalwaehrung RHO)</w:t>
            </w:r>
          </w:p>
        </w:tc>
      </w:tr>
    </w:tbl>
    <w:p>
      <w:pPr>
        <w:pStyle w:val="Heading3"/>
      </w:pPr>
      <w:r>
        <w:t>Leistungsbeschreibung</w:t>
      </w:r>
    </w:p>
    <w:p>
      <w:r>
        <w:t>Lokale Vertriebsdienstleistungen Asien-Pazifik gemaess Intercompany-Service-Agreement vom 1.1.2018. Umfasst Market-Intelligence, Kundenbetreuung BAIC/Geely/CATL, Trade-Show-Vertretung, Aftermarket-Support. Verrechnung erfolgt nach Cost-Plus-Methode (Markup 8 % auf Vollkosten) gemaess TP-Local-File Kapitel 4.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 (EUR)</w:t>
            </w:r>
          </w:p>
        </w:tc>
      </w:tr>
      <w:tr>
        <w:tc>
          <w:tcPr>
            <w:tcW w:type="dxa" w:w="4320"/>
          </w:tcPr>
          <w:p>
            <w:r>
              <w:t>Vollkosten Sales-Aktivitaeten 04/2020</w:t>
            </w:r>
          </w:p>
        </w:tc>
        <w:tc>
          <w:tcPr>
            <w:tcW w:type="dxa" w:w="4320"/>
          </w:tcPr>
          <w:p>
            <w:r>
              <w:t>98.450,00</w:t>
            </w:r>
          </w:p>
        </w:tc>
      </w:tr>
      <w:tr>
        <w:tc>
          <w:tcPr>
            <w:tcW w:type="dxa" w:w="4320"/>
          </w:tcPr>
          <w:p>
            <w:r>
              <w:t>Davon: Personalkosten</w:t>
            </w:r>
          </w:p>
        </w:tc>
        <w:tc>
          <w:tcPr>
            <w:tcW w:type="dxa" w:w="4320"/>
          </w:tcPr>
          <w:p>
            <w:r>
              <w:t>62.300,00</w:t>
            </w:r>
          </w:p>
        </w:tc>
      </w:tr>
      <w:tr>
        <w:tc>
          <w:tcPr>
            <w:tcW w:type="dxa" w:w="4320"/>
          </w:tcPr>
          <w:p>
            <w:r>
              <w:t>Davon: Reise und Repraesentation</w:t>
            </w:r>
          </w:p>
        </w:tc>
        <w:tc>
          <w:tcPr>
            <w:tcW w:type="dxa" w:w="4320"/>
          </w:tcPr>
          <w:p>
            <w:r>
              <w:t>8.200,00</w:t>
            </w:r>
          </w:p>
        </w:tc>
      </w:tr>
      <w:tr>
        <w:tc>
          <w:tcPr>
            <w:tcW w:type="dxa" w:w="4320"/>
          </w:tcPr>
          <w:p>
            <w:r>
              <w:t>Davon: Buero und Overhead</w:t>
            </w:r>
          </w:p>
        </w:tc>
        <w:tc>
          <w:tcPr>
            <w:tcW w:type="dxa" w:w="4320"/>
          </w:tcPr>
          <w:p>
            <w:r>
              <w:t>21.800,00</w:t>
            </w:r>
          </w:p>
        </w:tc>
      </w:tr>
      <w:tr>
        <w:tc>
          <w:tcPr>
            <w:tcW w:type="dxa" w:w="4320"/>
          </w:tcPr>
          <w:p>
            <w:r>
              <w:t>Davon: Marketing-Anteil</w:t>
            </w:r>
          </w:p>
        </w:tc>
        <w:tc>
          <w:tcPr>
            <w:tcW w:type="dxa" w:w="4320"/>
          </w:tcPr>
          <w:p>
            <w:r>
              <w:t>6.150,00</w:t>
            </w:r>
          </w:p>
        </w:tc>
      </w:tr>
      <w:tr>
        <w:tc>
          <w:tcPr>
            <w:tcW w:type="dxa" w:w="4320"/>
          </w:tcPr>
          <w:p>
            <w:r>
              <w:t>Markup 8 %</w:t>
            </w:r>
          </w:p>
        </w:tc>
        <w:tc>
          <w:tcPr>
            <w:tcW w:type="dxa" w:w="4320"/>
          </w:tcPr>
          <w:p>
            <w:r>
              <w:t>7.876,00</w:t>
            </w:r>
          </w:p>
        </w:tc>
      </w:tr>
      <w:tr>
        <w:tc>
          <w:tcPr>
            <w:tcW w:type="dxa" w:w="4320"/>
          </w:tcPr>
          <w:p>
            <w:r>
              <w:t>Zwischensumme</w:t>
            </w:r>
          </w:p>
        </w:tc>
        <w:tc>
          <w:tcPr>
            <w:tcW w:type="dxa" w:w="4320"/>
          </w:tcPr>
          <w:p>
            <w:r>
              <w:t>106.326,00</w:t>
            </w:r>
          </w:p>
        </w:tc>
      </w:tr>
      <w:tr>
        <w:tc>
          <w:tcPr>
            <w:tcW w:type="dxa" w:w="4320"/>
          </w:tcPr>
          <w:p>
            <w:r>
              <w:t>VAT (Reverse-Charge B2B, keine VAT)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Rechnungsbetrag gesamt</w:t>
            </w:r>
          </w:p>
        </w:tc>
        <w:tc>
          <w:tcPr>
            <w:tcW w:type="dxa" w:w="4320"/>
          </w:tcPr>
          <w:p>
            <w:r>
              <w:t>106.326,00</w:t>
            </w:r>
          </w:p>
        </w:tc>
      </w:tr>
    </w:tbl>
    <w:p>
      <w:pPr>
        <w:pStyle w:val="Heading3"/>
      </w:pPr>
      <w:r>
        <w:t>Zahlungsbedingungen</w:t>
      </w:r>
    </w:p>
    <w:p>
      <w:r>
        <w:t>Zahlbar binnen 30 Tagen netto auf Konto Bank of China Shanghai Branch, IBAN CN10 0067 8901 2345 6789 01, SWIFT BKCHCNBJ300. Skonto entfaellt (Intercompany). Verrechnung im Cash-Pooling moeglich.</w:t>
      </w:r>
    </w:p>
    <w:p>
      <w:pPr>
        <w:pStyle w:val="Heading3"/>
      </w:pPr>
      <w:r>
        <w:t>Transfer-Pricing-Vermerk</w:t>
      </w:r>
    </w:p>
    <w:p>
      <w:r>
        <w:t>Diese Rechnung steht im Einklang mit dem konzernweiten Verrechnungspreis-Konzept (TP-Local-File 2019, KPMG-Dokumentation). Cost-Plus-Markup 8 % entspricht der Bandbreite vergleichbarer Routine-Service-Distributoren (Interquartilsbandbreite 5-12 %, Median 8,5 %, RoyaltyStat-Studie 2019).</w:t>
      </w:r>
    </w:p>
    <w:p>
      <w:pPr>
        <w:pStyle w:val="Heading3"/>
      </w:pPr>
      <w:r>
        <w:t>Aussteller und Genehmigung</w:t>
      </w:r>
    </w:p>
    <w:p>
      <w:r>
        <w:t>Ausstellende Gesellschaft: Brennhagen (Shanghai) Co. Ltd., Country Manager Zhang Hao, Finance Manager Liang Wei. Stempel und elektronische Unterschrift digital ueber Coupa-Workflow. Interne Genehmigung gemaess Konzern-Richtlinie Intercompany 2018-IC-01 (Sign-off CFO Laura Bauer, RHO Stuttgart). Buchung erfolgt SAP-Profitcenter PC-RCN-SALES, Sachkonto 6310 IC-Service-Aufwand, gegen Forderung Konto 1361 (RCN-RHO).</w:t>
      </w:r>
    </w:p>
    <w:p>
      <w:pPr>
        <w:pStyle w:val="Heading3"/>
      </w:pPr>
      <w:r>
        <w:t>Konformitaetsvermerk</w:t>
      </w:r>
    </w:p>
    <w:p>
      <w:r>
        <w:t>Die Rechnung entspricht den Anforderungen des UStG (§§ 14, 14a) sowie den OECD Transfer Pricing Guidelines (Kapitel VII Konzernsdienstleistungen). KPMG hat die Methode im Rahmen der TP-Dokumentation 2019 als arm's length bestaetigt.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