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Protokoll Europaeischer Betriebsrat (EBR) – Jahrestagung 2022</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14.-16. November 2022</w:t>
            </w:r>
          </w:p>
        </w:tc>
      </w:tr>
      <w:tr>
        <w:tc>
          <w:tcPr>
            <w:tcW w:type="dxa" w:w="4320"/>
          </w:tcPr>
          <w:p>
            <w:r>
              <w:t>Ort</w:t>
            </w:r>
          </w:p>
        </w:tc>
        <w:tc>
          <w:tcPr>
            <w:tcW w:type="dxa" w:w="4320"/>
          </w:tcPr>
          <w:p>
            <w:r>
              <w:t>Bruessel, EBR-Sekretariat &amp; Stuttgart (hybrid)</w:t>
            </w:r>
          </w:p>
        </w:tc>
      </w:tr>
      <w:tr>
        <w:tc>
          <w:tcPr>
            <w:tcW w:type="dxa" w:w="4320"/>
          </w:tcPr>
          <w:p>
            <w:r>
              <w:t>EBR-Vorsitz</w:t>
            </w:r>
          </w:p>
        </w:tc>
        <w:tc>
          <w:tcPr>
            <w:tcW w:type="dxa" w:w="4320"/>
          </w:tcPr>
          <w:p>
            <w:r>
              <w:t>Marlies Duerr (Stuttgart, IG Metall)</w:t>
            </w:r>
          </w:p>
        </w:tc>
      </w:tr>
      <w:tr>
        <w:tc>
          <w:tcPr>
            <w:tcW w:type="dxa" w:w="4320"/>
          </w:tcPr>
          <w:p>
            <w:r>
              <w:t>Stellv. Vorsitz</w:t>
            </w:r>
          </w:p>
        </w:tc>
        <w:tc>
          <w:tcPr>
            <w:tcW w:type="dxa" w:w="4320"/>
          </w:tcPr>
          <w:p>
            <w:r>
              <w:t>Marek Tomaszewski (Katowice, NSZZ Solidarnosc)</w:t>
            </w:r>
          </w:p>
        </w:tc>
      </w:tr>
      <w:tr>
        <w:tc>
          <w:tcPr>
            <w:tcW w:type="dxa" w:w="4320"/>
          </w:tcPr>
          <w:p>
            <w:r>
              <w:t>Mitglieder</w:t>
            </w:r>
          </w:p>
        </w:tc>
        <w:tc>
          <w:tcPr>
            <w:tcW w:type="dxa" w:w="4320"/>
          </w:tcPr>
          <w:p>
            <w:r>
              <w:t>11 Mitglieder aus DE (5), PL (2), CZ (2), HU (1), CN (Beobachter)</w:t>
            </w:r>
          </w:p>
        </w:tc>
      </w:tr>
      <w:tr>
        <w:tc>
          <w:tcPr>
            <w:tcW w:type="dxa" w:w="4320"/>
          </w:tcPr>
          <w:p>
            <w:r>
              <w:t>Geschaeftsleitung</w:t>
            </w:r>
          </w:p>
        </w:tc>
        <w:tc>
          <w:tcPr>
            <w:tcW w:type="dxa" w:w="4320"/>
          </w:tcPr>
          <w:p>
            <w:r>
              <w:t>Anna Mueller (CEO), Laura Bauer (CFO), Petra Hartmann (CHRO)</w:t>
            </w:r>
          </w:p>
        </w:tc>
      </w:tr>
      <w:tr>
        <w:tc>
          <w:tcPr>
            <w:tcW w:type="dxa" w:w="4320"/>
          </w:tcPr>
          <w:p>
            <w:r>
              <w:t>Sekretariat</w:t>
            </w:r>
          </w:p>
        </w:tc>
        <w:tc>
          <w:tcPr>
            <w:tcW w:type="dxa" w:w="4320"/>
          </w:tcPr>
          <w:p>
            <w:r>
              <w:t>Britta Hellmann, EBR-Buero Stuttgart</w:t>
            </w:r>
          </w:p>
        </w:tc>
      </w:tr>
    </w:tbl>
    <w:p>
      <w:pPr>
        <w:pStyle w:val="Heading3"/>
      </w:pPr>
      <w:r>
        <w:t>TOP 1 — Eroeffnung und Bericht des EBR-Vorsitzes</w:t>
      </w:r>
    </w:p>
    <w:p>
      <w:r>
        <w:t>Frau Duerr eroeffnet die EBR-Jahrestagung 2022 und begruesst alle Mitglieder, insbesondere die Vertreter der RHU Gyoer und der RCZ Brno, die im Vorjahr neu in den EBR gewaehlt wurden. Bericht zur Arbeit des engeren Ausschusses, monatliche Telefonkonferenzen, gemeinsame Massnahmen mit dem European Metalworkers Federation (industriAll Europe).</w:t>
      </w:r>
    </w:p>
    <w:p>
      <w:pPr>
        <w:pStyle w:val="Heading3"/>
      </w:pPr>
      <w:r>
        <w:t>TOP 2 — Geschaeftsentwicklung Konzern (CEO/CFO)</w:t>
      </w:r>
    </w:p>
    <w:p>
      <w:r>
        <w:t>CEO Anna Mueller stellt die wesentlichen Eckdaten 2022 vor: Konzernumsatz 612 Mio. EUR (2021: 600 Mio.), EBITDA 74 Mio. EUR (Marge 12,1 %), Free Cashflow 41 Mio. EUR. Strategie 2030: Elektromobilitaet/BMS-Plattform, ADAS Level-2+/3 mit RSG, Aufbau Asien-Vertrieb RCN, Optimierung Footprint. CFO Laura Bauer ergaenzt zur Konsortialkredit-Refinanzierung 2027 und zu Sustainability-linked-Klauseln.</w:t>
      </w:r>
    </w:p>
    <w:p>
      <w:pPr>
        <w:pStyle w:val="Heading3"/>
      </w:pPr>
      <w:r>
        <w:t>TOP 3 — Transnationale Restrukturierung 'Footprint 2030'</w:t>
      </w:r>
    </w:p>
    <w:p>
      <w:r>
        <w:t>Diskussion ueber die transnationalen Auswirkungen der angekuendigten Verlagerung von SMD-Vorfertigung. Der EBR fordert: (1) frueheste Information vor finalen Standortentscheidungen, (2) verbindliche Konsultation gemaess EBR-Vereinbarung 2019 Art. 8 mit Frist 6 Wochen, (3) Aufnahme einer transnationalen Sozialplan-Komponente. Geschaeftsleitung sagt frueherzeitige Information und Konsultation zu.</w:t>
      </w:r>
    </w:p>
    <w:p>
      <w:pPr>
        <w:pStyle w:val="Heading3"/>
      </w:pPr>
      <w:r>
        <w:t>TOP 4 — Gesundheit und Sicherheit</w:t>
      </w:r>
    </w:p>
    <w:p>
      <w:r>
        <w:t>Bericht der Sicherheitsfachkraefte aller Werke. Unfallhaeufigkeit (LTIFR) Konzern 4,8 (PY 5,2). Ziel 2025: &lt;4,0. Schwerpunkte: Maschinensicherheit (RPL), Ergonomie Montage (REG), psychische Belastung Software (RSG). Diskussion zur Einfuehrung einer konzernweiten Anonymous-Reporting-Plattform fuer Beinaheunfaelle und sicherheitskritische Beobachtungen.</w:t>
      </w:r>
    </w:p>
    <w:p>
      <w:pPr>
        <w:pStyle w:val="Heading3"/>
      </w:pPr>
      <w:r>
        <w:t>TOP 5 — Gleichstellung und ESG</w:t>
      </w:r>
    </w:p>
    <w:p>
      <w:r>
        <w:t>Frauenanteil in Fuehrungspositionen Konzern 2022: 24 % (PY 21 %). Ziel 30 % bis 2027. Diskussion der ESG-KPIs aus dem Nachhaltigkeitsbericht (CSRD-konform ab 2024). Anregung des EBR: konzernweite Pay-Gap-Analyse mit Veroeffentlichung ab Berichtsjahr 2025.</w:t>
      </w:r>
    </w:p>
    <w:p>
      <w:pPr>
        <w:pStyle w:val="Heading3"/>
      </w:pPr>
      <w:r>
        <w:t>TOP 6 — Beschluesse</w:t>
      </w:r>
    </w:p>
    <w:p>
      <w:pPr>
        <w:pStyle w:val="ListBullet"/>
      </w:pPr>
      <w:r>
        <w:t>Verlaengerung der EBR-Vereinbarung 2019 bis zum 31.12.2027 (einstimmig).</w:t>
      </w:r>
    </w:p>
    <w:p>
      <w:pPr>
        <w:pStyle w:val="ListBullet"/>
      </w:pPr>
      <w:r>
        <w:t>Antrag an die Geschaeftsleitung zur Bereitstellung eines transnationalen Sozialfonds 500.000 EUR fuer Qualifizierung im Kontext der Transformation.</w:t>
      </w:r>
    </w:p>
    <w:p>
      <w:pPr>
        <w:pStyle w:val="ListBullet"/>
      </w:pPr>
      <w:r>
        <w:t>Einrichtung eines staendigen Ausschusses 'Digitale Transformation und KI am Arbeitsplatz' (5 Mitglieder).</w:t>
      </w:r>
    </w:p>
    <w:p>
      <w:pPr>
        <w:pStyle w:val="ListBullet"/>
      </w:pPr>
      <w:r>
        <w:t>Schulungsplan EBR 2025: 3 Treffen jaehrlich, Schwerpunkt EU-Lieferkettengesetz und AI-Act.</w:t>
      </w:r>
    </w:p>
    <w:p>
      <w:pPr>
        <w:pStyle w:val="Heading3"/>
      </w:pPr>
      <w:r>
        <w:t>Unterschriften</w:t>
      </w:r>
    </w:p>
    <w:p>
      <w:r>
        <w:t>Ort, Datum: Bruessel, den 16. November 2022</w:t>
      </w:r>
    </w:p>
    <w:p>
      <w:r>
        <w:t>_________________________            _________________________</w:t>
        <w:br/>
        <w:t>Marlies Duerr                          Marek Tomaszewski</w:t>
        <w:br/>
        <w:t>EBR-Vorsitz                          stv. EBR-Vorsitz</w:t>
        <w:br/>
        <w:t>Brennhagen Elektronik AG                       RPL Katowice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