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Protokoll Konzernbetriebsrats-Sitzung Q1 2023 – Brennhagen Elektronik AG</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15. März 2023</w:t>
            </w:r>
          </w:p>
        </w:tc>
      </w:tr>
      <w:tr>
        <w:tc>
          <w:tcPr>
            <w:tcW w:type="dxa" w:w="4320"/>
          </w:tcPr>
          <w:p>
            <w:r>
              <w:t>Ort</w:t>
            </w:r>
          </w:p>
        </w:tc>
        <w:tc>
          <w:tcPr>
            <w:tcW w:type="dxa" w:w="4320"/>
          </w:tcPr>
          <w:p>
            <w:r>
              <w:t>Stuttgart, Konzernzentrale Raum V.04</w:t>
            </w:r>
          </w:p>
        </w:tc>
      </w:tr>
      <w:tr>
        <w:tc>
          <w:tcPr>
            <w:tcW w:type="dxa" w:w="4320"/>
          </w:tcPr>
          <w:p>
            <w:r>
              <w:t>Vorsitz</w:t>
            </w:r>
          </w:p>
        </w:tc>
        <w:tc>
          <w:tcPr>
            <w:tcW w:type="dxa" w:w="4320"/>
          </w:tcPr>
          <w:p>
            <w:r>
              <w:t>Marlies Duerr (KBR-Vorsitz, IG Metall, AR-Mitglied)</w:t>
            </w:r>
          </w:p>
        </w:tc>
      </w:tr>
      <w:tr>
        <w:tc>
          <w:tcPr>
            <w:tcW w:type="dxa" w:w="4320"/>
          </w:tcPr>
          <w:p>
            <w:r>
              <w:t>Stellv. Vorsitz</w:t>
            </w:r>
          </w:p>
        </w:tc>
        <w:tc>
          <w:tcPr>
            <w:tcW w:type="dxa" w:w="4320"/>
          </w:tcPr>
          <w:p>
            <w:r>
              <w:t>Klaus Bauer (REG Heilbronn)</w:t>
            </w:r>
          </w:p>
        </w:tc>
      </w:tr>
      <w:tr>
        <w:tc>
          <w:tcPr>
            <w:tcW w:type="dxa" w:w="4320"/>
          </w:tcPr>
          <w:p>
            <w:r>
              <w:t>Anwesend (Werks-BR-Vorsitze)</w:t>
            </w:r>
          </w:p>
        </w:tc>
        <w:tc>
          <w:tcPr>
            <w:tcW w:type="dxa" w:w="4320"/>
          </w:tcPr>
          <w:p>
            <w:r>
              <w:t>Klaus Bauer (REG), Sabine Forster (RSG), Marek Tomaszewski (RPL, online), Tomas Prochazka (RCZ, online), Istvan Nagy (RHU, online), Christine Vogel (RHO, Schrift)</w:t>
            </w:r>
          </w:p>
        </w:tc>
      </w:tr>
      <w:tr>
        <w:tc>
          <w:tcPr>
            <w:tcW w:type="dxa" w:w="4320"/>
          </w:tcPr>
          <w:p>
            <w:r>
              <w:t>Anwesend Geschaeftsleitung</w:t>
            </w:r>
          </w:p>
        </w:tc>
        <w:tc>
          <w:tcPr>
            <w:tcW w:type="dxa" w:w="4320"/>
          </w:tcPr>
          <w:p>
            <w:r>
              <w:t>Anna Mueller (CEO), Laura Bauer (CFO, TOP 3), Petra Hartmann (HR Director)</w:t>
            </w:r>
          </w:p>
        </w:tc>
      </w:tr>
      <w:tr>
        <w:tc>
          <w:tcPr>
            <w:tcW w:type="dxa" w:w="4320"/>
          </w:tcPr>
          <w:p>
            <w:r>
              <w:t>Beschlussfaehigkeit</w:t>
            </w:r>
          </w:p>
        </w:tc>
        <w:tc>
          <w:tcPr>
            <w:tcW w:type="dxa" w:w="4320"/>
          </w:tcPr>
          <w:p>
            <w:r>
              <w:t>festgestellt</w:t>
            </w:r>
          </w:p>
        </w:tc>
      </w:tr>
    </w:tbl>
    <w:p>
      <w:pPr>
        <w:pStyle w:val="Heading3"/>
      </w:pPr>
      <w:r>
        <w:t>TOP 1 — Konzernweite Personalplanung Q1 2023</w:t>
      </w:r>
    </w:p>
    <w:p>
      <w:r>
        <w:t>Frau Hartmann berichtet zur konzernweiten Personalplanung. Stichtag 31.03.2023: Gesamt-FTE 4.225 (Vorquartal 4.198, +27). Schwerpunkt-Einstellungen Softwareentwicklung RSG Muenchen (+18 ADAS-Engineers), Aufbau RCN Shanghai (+12 Sales/AE). Reduktion Stammbelegschaft REG Heilbronn (-8 fluktuationsbedingt nicht nachbesetzt). Diskussion zur strategischen Personalplanung 2025-2027 mit Schwerpunkt Software/AI-Skills.</w:t>
      </w:r>
    </w:p>
    <w:p>
      <w:pPr>
        <w:pStyle w:val="Heading3"/>
      </w:pPr>
      <w:r>
        <w:t>TOP 2 — Konzernweite Restrukturierung Footprint 2030</w:t>
      </w:r>
    </w:p>
    <w:p>
      <w:r>
        <w:t>CEO Anna Mueller stellt die konsolidierte Sicht der Footprint-Strategie 2030 vor. Schwerpunkte: Verlagerung Vorfertigung Steckverbinder von REG nach RCZ, Aufbau Battery-Cell-Pack-Endmontage in RPL Katowice, Reduktion Standort Stuttgart Verwaltung. Der KBR fordert die Einleitung formeller Interessenausgleichsverhandlungen je Standort und die Bildung einer konzernweiten Verhandlungskommission unter Beteiligung der IG Metall und Solidarnosc. Anna Mueller sagt entsprechende Konsultation zu, Beginn ab 01.07.</w:t>
      </w:r>
    </w:p>
    <w:p>
      <w:pPr>
        <w:pStyle w:val="Heading3"/>
      </w:pPr>
      <w:r>
        <w:t>TOP 3 — Wirtschaftliche Lage Konzern Q1 2023</w:t>
      </w:r>
    </w:p>
    <w:p>
      <w:r>
        <w:t>CFO Laura Bauer berichtet zur wirtschaftlichen Lage: Konzernumsatz Q1 2023 158 Mio. EUR (PY 152 Mio., +4 %), EBITDA-Marge 12,1 %, Auftragsbestand 1.420 Mio. EUR (Reichweite 28 Monate). Frau Bauer verweist auf die Einhaltung aller Konsortialkredit-Covenants. Fragen aus dem KBR zur Investitionsplanung 2025 (Capex 78 Mio. EUR) werden ausfuehrlich beantwortet.</w:t>
      </w:r>
    </w:p>
    <w:p>
      <w:pPr>
        <w:pStyle w:val="Heading3"/>
      </w:pPr>
      <w:r>
        <w:t>TOP 4 — Beschluesse</w:t>
      </w:r>
    </w:p>
    <w:p>
      <w:pPr>
        <w:pStyle w:val="ListBullet"/>
      </w:pPr>
      <w:r>
        <w:t>Beschluss 1: Bildung einer konzernweiten Verhandlungskommission zur Begleitung 'Footprint 2030' (5 Mitglieder, je Standort plus Vorsitz Duerr).</w:t>
      </w:r>
    </w:p>
    <w:p>
      <w:pPr>
        <w:pStyle w:val="ListBullet"/>
      </w:pPr>
      <w:r>
        <w:t>Beschluss 2: Auftrag an die Geschaeftsleitung, in der Sitzung des Wirtschaftsausschusses am 28. des Folgemonats die kumulierte Standortbilanz pro Werk vorzulegen.</w:t>
      </w:r>
    </w:p>
    <w:p>
      <w:pPr>
        <w:pStyle w:val="ListBullet"/>
      </w:pPr>
      <w:r>
        <w:t>Beschluss 3: Verlaengerung der konzernweiten BV Mobile Arbeit um 12 Monate (alle Vorsitzenden einstimmig).</w:t>
      </w:r>
    </w:p>
    <w:p>
      <w:pPr>
        <w:pStyle w:val="ListBullet"/>
      </w:pPr>
      <w:r>
        <w:t>Beschluss 4: Schulungsbeschluss fuer 8 KBR-Mitglieder zum Seminar 'EU-Whistleblower-RL Umsetzung Konzern' (Pichler Akademie, Berlin).</w:t>
      </w:r>
    </w:p>
    <w:p>
      <w:pPr>
        <w:pStyle w:val="Heading3"/>
      </w:pPr>
      <w:r>
        <w:t>TOP 5 — Verschiedenes</w:t>
      </w:r>
    </w:p>
    <w:p>
      <w:r>
        <w:t>Hinweis auf die kommende Sitzung des Aufsichtsrats am 12.10. (Frau Duerr als Arbeitnehmervertreterin). Hinweis auf den Bericht der KPMG ueber den Konzernabschluss; KBR fordert Vorlage des Management Letter. Frau Duerr schliesst die Sitzung um 17:45 Uhr. Naechste KBR-Sitzung in Heilbronn.</w:t>
      </w:r>
    </w:p>
    <w:p>
      <w:pPr>
        <w:pStyle w:val="Heading3"/>
      </w:pPr>
      <w:r>
        <w:t>Unterschriften</w:t>
      </w:r>
    </w:p>
    <w:p>
      <w:r>
        <w:t>Ort, Datum: Stuttgart, den 15. März 2023</w:t>
      </w:r>
    </w:p>
    <w:p>
      <w:r>
        <w:t>_________________________            _________________________</w:t>
        <w:br/>
        <w:t>Marlies Duerr                          Christine Vogel</w:t>
        <w:br/>
        <w:t>KBR-Vorsitz                          Schriftfuehrung KBR</w:t>
        <w:br/>
        <w:t>Brennhagen Elektronik AG                       RHO Stuttgart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