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Brennhagen Elektronik GmbH (REG)</w:t>
      </w:r>
    </w:p>
    <w:p>
      <w:r>
        <w:rPr>
          <w:sz w:val="18"/>
        </w:rPr>
        <w:t>Heilbronner Strasse 88, 74072 Heilbronn  |  HRB 221456, AG Heilbronn</w:t>
      </w:r>
    </w:p>
    <w:p>
      <w:r>
        <w:t>────────────────────────────────────────────────────────────────────────────────</w:t>
      </w:r>
    </w:p>
    <w:p>
      <w:pPr>
        <w:pStyle w:val="Heading2"/>
      </w:pPr>
      <w:r>
        <w:t>Stellungnahme Betriebsrat zur Massenentlassungsanzeige nach § 17 KSchG – Brennhagen Elektronik GmbH (2022)</w:t>
      </w:r>
    </w:p>
    <w:p/>
    <w:p>
      <w:pPr>
        <w:pStyle w:val="Heading3"/>
      </w:pPr>
      <w:r>
        <w:t>Betreff</w:t>
      </w:r>
    </w:p>
    <w:p>
      <w:r>
        <w:t>Stellungnahme Betriebsrat zur Massenentlassungsanzeige nach § 17 KSchG</w:t>
        <w:br/>
        <w:t>Gegenstand: geplante betriebsbedingte Beendigung von 38 Arbeitsverhaeltnissen im Bereich Logistik/Versand</w:t>
        <w:br/>
        <w:t>Rechtsgrundlage: § 17 KSchG, §§ 111, 112 BetrVG</w:t>
      </w:r>
    </w:p>
    <w:p>
      <w:pPr>
        <w:pStyle w:val="Heading3"/>
      </w:pPr>
      <w:r>
        <w:t>Sachverhalt</w:t>
      </w:r>
    </w:p>
    <w:p>
      <w:r>
        <w:t>Sehr geehrte Damen und Herren,</w:t>
      </w:r>
    </w:p>
    <w:p>
      <w:r>
        <w:t>mit Schreiben vom 12. März 2022 bzw. im Rahmen der monatlichen Betriebsratssitzung am 15. April 2022 hat die Geschaeftsleitung dem Betriebsrat den oben genannten Sachverhalt zur Kenntnis gebracht. Der Betriebsrat hat den Vorgang in seiner Sitzung am 22. April 2022 unter Hinzuziehung des Sachverstaendigen Rechtsanwalt Dr. Wieland Schmitt (Kanzlei Schmitt + Partner, Stuttgart) beraten.</w:t>
      </w:r>
    </w:p>
    <w:p>
      <w:pPr>
        <w:pStyle w:val="Heading3"/>
      </w:pPr>
      <w:r>
        <w:t>Rechtliche Bewertung und Stellungnahme</w:t>
      </w:r>
    </w:p>
    <w:p>
      <w:r>
        <w:t>Der Betriebsrat nimmt die Konsultation gemaess § 17 Abs. 2 KSchG zur Kenntnis. Begleitend wird die parallele Aufnahme von Interessenausgleichsverhandlungen gefordert. Soziale Auswahl gemaess § 1 Abs. 3 KSchG ist auf nachvollziehbaren Kriterien (Lebensalter, Betriebszugehoerigkeit, Unterhaltspflichten, Schwerbehinderung) zu basieren.</w:t>
      </w:r>
    </w:p>
    <w:p>
      <w:pPr>
        <w:pStyle w:val="Heading3"/>
      </w:pPr>
      <w:r>
        <w:t>Forderung / weiteres Vorgehen</w:t>
      </w:r>
    </w:p>
    <w:p>
      <w:r>
        <w:t>Wir behalten uns die Anrufung der Einigungsstelle vor, falls bis 3 Wochen keine Einigung erzielt wird.</w:t>
      </w:r>
    </w:p>
    <w:p>
      <w:pPr>
        <w:pStyle w:val="Heading3"/>
      </w:pPr>
      <w:r>
        <w:t>Schlussformel</w:t>
      </w:r>
    </w:p>
    <w:p>
      <w:r>
        <w:t>Mit freundlichen kollegialen Gruessen</w:t>
      </w:r>
    </w:p>
    <w:p>
      <w:r>
        <w:t>Fuer den Betriebsrat der Brennhagen Elektronik GmbH</w:t>
      </w:r>
    </w:p>
    <w:p>
      <w:r>
        <w:t>Klaus Bauer (Vorsitz)</w:t>
        <w:br/>
        <w:t>Petra Hartmann (Stellvertretung)</w:t>
      </w:r>
    </w:p>
    <w:p>
      <w:r>
        <w:t>Kopie: Konzernbetriebsrat (Marlies Duerr), IG Metall Bezirk Stuttgart, KPMG (sofern bilanziell relevant)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