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Arbeitszeit und Arbeitszeiterfassung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['Geltungsbereich (alle gewerblichen und kaufmaennischen Mitarbeiter ausser leitende Angestellte i.S.v. § 5 Abs. 3 BetrVG).', 'Regelarbeitszeit 35 Std./Woche (West) bzw. 38 Std./Woche (Ost / Auslandsgesellschaften abweichend nach lokalem Tarif).', 'Gleitzeitrahmen 6:00 bis 20:00 Uhr, Kernzeit 9:00 bis 15:00 Uhr.', 'Erfassung elektronisch ueber Zeiterfassungssystem (ATOSS), tagesaktuelle Pflege durch Mitarbeitende.', 'Hoechstarbeitszeitgrenzen nach ArbZG, taegliche Ruhezeit min. 11 Std., woechentliche Ruhezeit min. 35 Std.', 'Mehrarbeit nur mit Zustimmung des Betriebsrats nach § 87 Abs. 1 Nr. 3 BetrVG, max. 10 Stunden/Woche.', 'Ueberstundenausgleich vorrangig durch Freizeit, alternativ verguetet zu 25 % Zuschlag, Nachtzuschlag 25 %, Sonntag 50 %, Feiertag 100 %.', 'Kontoregelung: Zeitkonten +120/-40 Stunden, Quartals-Abbauplan bei Ueberschreitung.'])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