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Betriebliche Altersversorgung (bAV)</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llen unbefristet Beschaeftigten wird eine arbeitgeberfinanzierte Grundzusage von 1,2 % der pensionsfaehigen Beguege gewaehrt.', 'Zusaetzlich Entgeltumwandlung bis 8 % BBG (West) mit Arbeitgeberzuschuss 20 %.', 'Durchfuehrungsweg: Pensionsfonds Heubeck (vorrangig), Direktversicherung Allianz Pensionsmanagement.', 'Unverfallbarkeit nach gesetzlicher Frist (3 Jahre, Vollendung 21. Lebensjahr).', 'Anpassungspruefung nach § 16 BetrAVG alle 3 Jahre.', 'Information der Mitarbeiter durch jaehrlichen Renteninformationsbrief.', 'Sondervereinbarung fuer Bestandsmitarbeiter mit alter Direktzusage gemaess Anlage 1.'])</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