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Betriebliches Gesundheitsmanagement (BGM)</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['Einrichtung eines Steuerkreises BGM (Werkarzt, Sifa, BR, HR, Werkleitung).', 'Jaehrliche Gesundheitstage am Standort mit Vorsorgeangeboten (Augen, Herz/Kreislauf, Hauttest).', 'Praeventionsprogramme: Rueckenschule, Stressbewaeltigung, Ernaehrungsberatung – Teilnahme waehrend der Arbeitszeit bis 4 Std./Quartal.', 'Externes Mitarbeiter-Assistance-Programm (EAP) mit Anbieter INSITE-Interventions, 24/7-Hotline, vertraulich.', 'Suchtpraevention nach DGUV V/A: Stufenplan, Vereinbarungspflicht bei Auffaelligkeiten.', 'Anonymisierte Auswertung der Krankenquote, getrennt nach Bereichen, halbjaehrlich an BR.', 'Foerderung von Sport- und Bewegungsangeboten (Firmenlauf, Zuschuss Hansefit/Wellpass 25 EUR/Monat).'])</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2022</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