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Gleichstellung und Antidiskriminierung</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['Bekenntnis zur Chancengleichheit unabhaengig von Geschlecht, Alter, Herkunft, Religion, sexueller Identitaet, Behinderung.', 'Zielquote 30 % Frauen in Fuehrungspositionen bis 2027, Massnahmenkatalog gemaess Anlage 1.', 'Foerderung Wiedereinstieg nach Elternzeit (garantiertes Rueckkehrgespraech, Patenmodell).', 'Diskriminierungsbeschwerdestelle nach § 13 AGG, paritaetisch besetzt (HR, BR, SBV, Diversity-Beauftragter).', 'Verpflichtende Schulung Diversity &amp; Inclusion fuer alle Fuehrungskraefte, mindestens alle 24 Monate.', 'Geschlechtergerechte Stellenausschreibungen (m/w/d), Standardvorlagen verbindlich.', 'Jaehrliche Berichterstattung an die Geschaeftsleitung und den BR zur Entwicklung der Indikatoren.'])</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